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519F" w14:textId="1938D6AA" w:rsidR="00166399" w:rsidRDefault="00166399">
      <w:pPr>
        <w:widowControl w:val="0"/>
        <w:pBdr>
          <w:top w:val="nil"/>
          <w:left w:val="nil"/>
          <w:bottom w:val="nil"/>
          <w:right w:val="nil"/>
          <w:between w:val="nil"/>
        </w:pBdr>
        <w:spacing w:after="0" w:line="276" w:lineRule="auto"/>
        <w:rPr>
          <w:rFonts w:ascii="Arial" w:eastAsia="Arial" w:hAnsi="Arial" w:cs="Arial"/>
          <w:color w:val="000000"/>
          <w:sz w:val="22"/>
          <w:szCs w:val="22"/>
        </w:rPr>
      </w:pPr>
    </w:p>
    <w:p w14:paraId="3740C7BE" w14:textId="77777777" w:rsidR="00166399" w:rsidRDefault="003B0A72">
      <w:pPr>
        <w:jc w:val="center"/>
        <w:rPr>
          <w:rFonts w:ascii="Constantia" w:eastAsia="Constantia" w:hAnsi="Constantia" w:cs="Constantia"/>
          <w:sz w:val="32"/>
          <w:szCs w:val="32"/>
        </w:rPr>
      </w:pPr>
      <w:r>
        <w:rPr>
          <w:rFonts w:ascii="Constantia" w:eastAsia="Constantia" w:hAnsi="Constantia" w:cs="Constantia"/>
          <w:sz w:val="32"/>
          <w:szCs w:val="32"/>
        </w:rPr>
        <w:t>Title (Constantia, 16, Bold)</w:t>
      </w:r>
    </w:p>
    <w:p w14:paraId="4B3BA248" w14:textId="77777777" w:rsidR="00166399" w:rsidRDefault="003B0A72">
      <w:pPr>
        <w:spacing w:before="240" w:after="240"/>
        <w:jc w:val="center"/>
        <w:rPr>
          <w:rFonts w:ascii="Cambria" w:eastAsia="Cambria" w:hAnsi="Cambria" w:cs="Cambria"/>
          <w:i/>
          <w:sz w:val="20"/>
          <w:szCs w:val="20"/>
          <w:vertAlign w:val="superscript"/>
        </w:rPr>
      </w:pPr>
      <w:r>
        <w:rPr>
          <w:rFonts w:ascii="Cambria" w:eastAsia="Cambria" w:hAnsi="Cambria" w:cs="Cambria"/>
          <w:i/>
          <w:sz w:val="20"/>
          <w:szCs w:val="20"/>
        </w:rPr>
        <w:t>First Author*, Second Author, ... (Cambria, 10)</w:t>
      </w:r>
    </w:p>
    <w:p w14:paraId="49CD9154" w14:textId="77777777" w:rsidR="00166399" w:rsidRDefault="003B0A72">
      <w:pPr>
        <w:shd w:val="clear" w:color="auto" w:fill="FFFFFF"/>
        <w:spacing w:after="0" w:line="240" w:lineRule="auto"/>
        <w:jc w:val="center"/>
        <w:rPr>
          <w:rFonts w:ascii="Cambria" w:eastAsia="Cambria" w:hAnsi="Cambria" w:cs="Cambria"/>
          <w:sz w:val="20"/>
          <w:szCs w:val="20"/>
        </w:rPr>
      </w:pPr>
      <w:r>
        <w:rPr>
          <w:rFonts w:ascii="Cambria" w:eastAsia="Cambria" w:hAnsi="Cambria" w:cs="Cambria"/>
          <w:sz w:val="20"/>
          <w:szCs w:val="20"/>
        </w:rPr>
        <w:t>Department, Faculty, University, City, Country (Cambria, 10)</w:t>
      </w:r>
    </w:p>
    <w:p w14:paraId="6E4D0FF1" w14:textId="77777777" w:rsidR="00166399" w:rsidRDefault="003B0A72">
      <w:pPr>
        <w:tabs>
          <w:tab w:val="left" w:pos="1560"/>
        </w:tabs>
        <w:spacing w:line="276" w:lineRule="auto"/>
        <w:jc w:val="center"/>
        <w:rPr>
          <w:rFonts w:ascii="Cambria" w:eastAsia="Cambria" w:hAnsi="Cambria" w:cs="Cambria"/>
          <w:sz w:val="20"/>
          <w:szCs w:val="20"/>
        </w:rPr>
      </w:pPr>
      <w:r>
        <w:rPr>
          <w:rFonts w:ascii="Cambria" w:eastAsia="Cambria" w:hAnsi="Cambria" w:cs="Cambria"/>
          <w:sz w:val="20"/>
          <w:szCs w:val="20"/>
        </w:rPr>
        <w:t>*Correspondence: E-mail: (Cambria, 10)</w:t>
      </w:r>
    </w:p>
    <w:p w14:paraId="1D6974E2" w14:textId="77777777" w:rsidR="00166399" w:rsidRDefault="00166399">
      <w:pPr>
        <w:tabs>
          <w:tab w:val="left" w:pos="1560"/>
        </w:tabs>
        <w:spacing w:line="240" w:lineRule="auto"/>
        <w:jc w:val="center"/>
        <w:rPr>
          <w:rFonts w:ascii="Cambria" w:eastAsia="Cambria" w:hAnsi="Cambria" w:cs="Cambria"/>
          <w:sz w:val="20"/>
          <w:szCs w:val="20"/>
        </w:rPr>
      </w:pPr>
    </w:p>
    <w:tbl>
      <w:tblPr>
        <w:tblStyle w:val="a4"/>
        <w:tblW w:w="92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102"/>
        <w:gridCol w:w="317"/>
        <w:gridCol w:w="2795"/>
      </w:tblGrid>
      <w:tr w:rsidR="00166399" w:rsidRPr="00AA3398" w14:paraId="0EFA3DF2" w14:textId="77777777">
        <w:tc>
          <w:tcPr>
            <w:tcW w:w="6102" w:type="dxa"/>
            <w:tcBorders>
              <w:top w:val="single" w:sz="12" w:space="0" w:color="ED7D31"/>
              <w:bottom w:val="single" w:sz="12" w:space="0" w:color="ED7D31"/>
            </w:tcBorders>
          </w:tcPr>
          <w:p w14:paraId="71B5BDF7" w14:textId="77777777" w:rsidR="00166399" w:rsidRDefault="003B0A72" w:rsidP="00576DF2">
            <w:pPr>
              <w:spacing w:after="0" w:line="240" w:lineRule="auto"/>
              <w:jc w:val="left"/>
              <w:rPr>
                <w:rFonts w:ascii="Constantia" w:eastAsia="Constantia" w:hAnsi="Constantia" w:cs="Constantia"/>
                <w:b/>
              </w:rPr>
            </w:pPr>
            <w:r>
              <w:rPr>
                <w:rFonts w:ascii="Constantia" w:eastAsia="Constantia" w:hAnsi="Constantia" w:cs="Constantia"/>
                <w:b/>
              </w:rPr>
              <w:t xml:space="preserve">A B S T R A C T </w:t>
            </w:r>
          </w:p>
        </w:tc>
        <w:tc>
          <w:tcPr>
            <w:tcW w:w="317" w:type="dxa"/>
          </w:tcPr>
          <w:p w14:paraId="6445B1F3" w14:textId="77777777" w:rsidR="00166399" w:rsidRDefault="00166399">
            <w:pPr>
              <w:spacing w:after="0" w:line="240" w:lineRule="auto"/>
              <w:jc w:val="center"/>
              <w:rPr>
                <w:rFonts w:ascii="Constantia" w:eastAsia="Constantia" w:hAnsi="Constantia" w:cs="Constantia"/>
              </w:rPr>
            </w:pPr>
          </w:p>
        </w:tc>
        <w:tc>
          <w:tcPr>
            <w:tcW w:w="2795" w:type="dxa"/>
            <w:tcBorders>
              <w:top w:val="single" w:sz="12" w:space="0" w:color="ED7D31"/>
              <w:left w:val="nil"/>
              <w:bottom w:val="single" w:sz="12" w:space="0" w:color="ED7D31"/>
            </w:tcBorders>
          </w:tcPr>
          <w:p w14:paraId="60C8B5FB" w14:textId="77777777" w:rsidR="00166399" w:rsidRPr="00AA3398" w:rsidRDefault="003B0A72">
            <w:pPr>
              <w:spacing w:after="0" w:line="240" w:lineRule="auto"/>
              <w:jc w:val="center"/>
              <w:rPr>
                <w:rFonts w:ascii="Constantia" w:eastAsia="Constantia" w:hAnsi="Constantia" w:cs="Constantia"/>
                <w:b/>
                <w:lang w:val="pt-BR"/>
              </w:rPr>
            </w:pPr>
            <w:r w:rsidRPr="00AA3398">
              <w:rPr>
                <w:rFonts w:ascii="Constantia" w:eastAsia="Constantia" w:hAnsi="Constantia" w:cs="Constantia"/>
                <w:b/>
                <w:lang w:val="pt-BR"/>
              </w:rPr>
              <w:t>A R T I C L E   I N F O</w:t>
            </w:r>
          </w:p>
        </w:tc>
      </w:tr>
      <w:tr w:rsidR="00166399" w14:paraId="45AE8635" w14:textId="77777777">
        <w:trPr>
          <w:trHeight w:val="4803"/>
        </w:trPr>
        <w:tc>
          <w:tcPr>
            <w:tcW w:w="6102" w:type="dxa"/>
            <w:tcBorders>
              <w:top w:val="single" w:sz="12" w:space="0" w:color="ED7D31"/>
            </w:tcBorders>
          </w:tcPr>
          <w:p w14:paraId="584C3481" w14:textId="045CB06D" w:rsidR="00576DF2" w:rsidRDefault="00576DF2">
            <w:pPr>
              <w:pBdr>
                <w:top w:val="nil"/>
                <w:left w:val="nil"/>
                <w:bottom w:val="nil"/>
                <w:right w:val="nil"/>
                <w:between w:val="nil"/>
              </w:pBdr>
              <w:spacing w:after="0" w:line="276" w:lineRule="auto"/>
              <w:jc w:val="both"/>
              <w:rPr>
                <w:rFonts w:ascii="Cambria" w:eastAsia="Cambria" w:hAnsi="Cambria" w:cs="Cambria"/>
              </w:rPr>
            </w:pPr>
            <w:r w:rsidRPr="00576DF2">
              <w:rPr>
                <w:rFonts w:ascii="Cambria" w:eastAsia="Cambria" w:hAnsi="Cambria" w:cs="Cambria"/>
              </w:rPr>
              <w:t>The abstract should be written without a section number, usually using the same font as the main text (for example, Times New Roman 10 pt). Its length is typically between 150 and 250 words, presented in a single paragraph without subheadings or bullet points. A good abstract should include four main elements: the background or purpose of the study, the methods used, the main findings, and the conclusion or implications of the research. Avoid citations, tables, figures, or unexplained abbreviations in this section. After the abstract, provide three to five keywords, separated by commas, and listed from general to more specific terms.</w:t>
            </w:r>
            <w:bookmarkStart w:id="0" w:name="_heading=h.gjdgxs" w:colFirst="0" w:colLast="0"/>
            <w:bookmarkEnd w:id="0"/>
          </w:p>
          <w:p w14:paraId="22F02682" w14:textId="77777777" w:rsidR="00576DF2" w:rsidRDefault="00576DF2">
            <w:pPr>
              <w:pBdr>
                <w:top w:val="nil"/>
                <w:left w:val="nil"/>
                <w:bottom w:val="nil"/>
                <w:right w:val="nil"/>
                <w:between w:val="nil"/>
              </w:pBdr>
              <w:spacing w:after="0" w:line="276" w:lineRule="auto"/>
              <w:jc w:val="both"/>
              <w:rPr>
                <w:rFonts w:ascii="Cambria" w:eastAsia="Cambria" w:hAnsi="Cambria" w:cs="Cambria"/>
              </w:rPr>
            </w:pPr>
          </w:p>
          <w:p w14:paraId="45DBA4F2" w14:textId="3FDD49F2" w:rsidR="00166399" w:rsidRDefault="003B0A72">
            <w:pPr>
              <w:pBdr>
                <w:top w:val="nil"/>
                <w:left w:val="nil"/>
                <w:bottom w:val="nil"/>
                <w:right w:val="nil"/>
                <w:between w:val="nil"/>
              </w:pBdr>
              <w:spacing w:after="0" w:line="276" w:lineRule="auto"/>
              <w:jc w:val="both"/>
              <w:rPr>
                <w:rFonts w:ascii="Cambria" w:eastAsia="Cambria" w:hAnsi="Cambria" w:cs="Cambria"/>
                <w:sz w:val="18"/>
                <w:szCs w:val="18"/>
              </w:rPr>
            </w:pPr>
            <w:r>
              <w:rPr>
                <w:rFonts w:ascii="Cambria" w:eastAsia="Cambria" w:hAnsi="Cambria" w:cs="Cambria"/>
                <w:sz w:val="18"/>
                <w:szCs w:val="18"/>
              </w:rPr>
              <w:t>© 202</w:t>
            </w:r>
            <w:r w:rsidR="00AA3398">
              <w:rPr>
                <w:rFonts w:ascii="Cambria" w:eastAsia="Cambria" w:hAnsi="Cambria" w:cs="Cambria"/>
                <w:sz w:val="18"/>
                <w:szCs w:val="18"/>
              </w:rPr>
              <w:t>6</w:t>
            </w:r>
            <w:r>
              <w:rPr>
                <w:rFonts w:ascii="Cambria" w:eastAsia="Cambria" w:hAnsi="Cambria" w:cs="Cambria"/>
                <w:sz w:val="18"/>
                <w:szCs w:val="18"/>
              </w:rPr>
              <w:t xml:space="preserve"> </w:t>
            </w:r>
            <w:r w:rsidR="00AA3398">
              <w:rPr>
                <w:rFonts w:ascii="Cambria" w:eastAsia="Cambria" w:hAnsi="Cambria" w:cs="Cambria"/>
                <w:sz w:val="18"/>
                <w:szCs w:val="18"/>
              </w:rPr>
              <w:t>HEPI</w:t>
            </w:r>
          </w:p>
        </w:tc>
        <w:tc>
          <w:tcPr>
            <w:tcW w:w="317" w:type="dxa"/>
          </w:tcPr>
          <w:p w14:paraId="1653C3BD" w14:textId="77777777" w:rsidR="00166399" w:rsidRDefault="00166399">
            <w:pPr>
              <w:spacing w:after="0" w:line="240" w:lineRule="auto"/>
              <w:rPr>
                <w:i/>
              </w:rPr>
            </w:pPr>
          </w:p>
        </w:tc>
        <w:tc>
          <w:tcPr>
            <w:tcW w:w="2795" w:type="dxa"/>
            <w:tcBorders>
              <w:top w:val="single" w:sz="12" w:space="0" w:color="ED7D31"/>
            </w:tcBorders>
          </w:tcPr>
          <w:p w14:paraId="2688EBC0" w14:textId="77777777" w:rsidR="00166399" w:rsidRDefault="003B0A72">
            <w:pPr>
              <w:spacing w:after="0" w:line="240" w:lineRule="auto"/>
              <w:rPr>
                <w:rFonts w:ascii="Cambria" w:eastAsia="Cambria" w:hAnsi="Cambria" w:cs="Cambria"/>
                <w:b/>
                <w:i/>
                <w:sz w:val="18"/>
                <w:szCs w:val="18"/>
              </w:rPr>
            </w:pPr>
            <w:r>
              <w:rPr>
                <w:rFonts w:ascii="Cambria" w:eastAsia="Cambria" w:hAnsi="Cambria" w:cs="Cambria"/>
                <w:b/>
                <w:i/>
                <w:sz w:val="18"/>
                <w:szCs w:val="18"/>
              </w:rPr>
              <w:t>Article History:</w:t>
            </w:r>
          </w:p>
          <w:p w14:paraId="6DC8E02A" w14:textId="77777777" w:rsidR="00166399" w:rsidRDefault="003B0A72">
            <w:pPr>
              <w:pBdr>
                <w:bottom w:val="single" w:sz="8" w:space="1" w:color="ED7D31"/>
              </w:pBdr>
              <w:spacing w:after="0" w:line="240" w:lineRule="auto"/>
              <w:rPr>
                <w:rFonts w:ascii="Cambria" w:eastAsia="Cambria" w:hAnsi="Cambria" w:cs="Cambria"/>
                <w:i/>
                <w:sz w:val="18"/>
                <w:szCs w:val="18"/>
              </w:rPr>
            </w:pPr>
            <w:r>
              <w:rPr>
                <w:rFonts w:ascii="Cambria" w:eastAsia="Cambria" w:hAnsi="Cambria" w:cs="Cambria"/>
                <w:i/>
                <w:sz w:val="18"/>
                <w:szCs w:val="18"/>
              </w:rPr>
              <w:t xml:space="preserve">Submitted/Received </w:t>
            </w:r>
            <w:r>
              <w:rPr>
                <w:rFonts w:ascii="Cambria" w:eastAsia="Cambria" w:hAnsi="Cambria" w:cs="Cambria"/>
                <w:i/>
                <w:sz w:val="18"/>
                <w:szCs w:val="18"/>
                <w:highlight w:val="yellow"/>
              </w:rPr>
              <w:t>xx xx xxxx</w:t>
            </w:r>
          </w:p>
          <w:p w14:paraId="4E4CAD08" w14:textId="77777777" w:rsidR="00166399" w:rsidRDefault="003B0A72">
            <w:pPr>
              <w:pBdr>
                <w:bottom w:val="single" w:sz="8" w:space="1" w:color="ED7D31"/>
              </w:pBdr>
              <w:spacing w:after="0" w:line="240" w:lineRule="auto"/>
              <w:rPr>
                <w:rFonts w:ascii="Cambria" w:eastAsia="Cambria" w:hAnsi="Cambria" w:cs="Cambria"/>
                <w:i/>
                <w:sz w:val="18"/>
                <w:szCs w:val="18"/>
              </w:rPr>
            </w:pPr>
            <w:r>
              <w:rPr>
                <w:rFonts w:ascii="Cambria" w:eastAsia="Cambria" w:hAnsi="Cambria" w:cs="Cambria"/>
                <w:i/>
                <w:sz w:val="18"/>
                <w:szCs w:val="18"/>
              </w:rPr>
              <w:t xml:space="preserve">First Revised </w:t>
            </w:r>
            <w:r>
              <w:rPr>
                <w:rFonts w:ascii="Cambria" w:eastAsia="Cambria" w:hAnsi="Cambria" w:cs="Cambria"/>
                <w:i/>
                <w:sz w:val="18"/>
                <w:szCs w:val="18"/>
                <w:highlight w:val="yellow"/>
              </w:rPr>
              <w:t>xx xx xxxx</w:t>
            </w:r>
          </w:p>
          <w:p w14:paraId="6E96FCD2" w14:textId="77777777" w:rsidR="00166399" w:rsidRDefault="003B0A72">
            <w:pPr>
              <w:pBdr>
                <w:bottom w:val="single" w:sz="8" w:space="1" w:color="ED7D31"/>
              </w:pBdr>
              <w:spacing w:after="0" w:line="240" w:lineRule="auto"/>
              <w:rPr>
                <w:rFonts w:ascii="Cambria" w:eastAsia="Cambria" w:hAnsi="Cambria" w:cs="Cambria"/>
                <w:i/>
                <w:sz w:val="18"/>
                <w:szCs w:val="18"/>
              </w:rPr>
            </w:pPr>
            <w:r>
              <w:rPr>
                <w:rFonts w:ascii="Cambria" w:eastAsia="Cambria" w:hAnsi="Cambria" w:cs="Cambria"/>
                <w:i/>
                <w:sz w:val="18"/>
                <w:szCs w:val="18"/>
              </w:rPr>
              <w:t xml:space="preserve">Accepted </w:t>
            </w:r>
            <w:r>
              <w:rPr>
                <w:rFonts w:ascii="Cambria" w:eastAsia="Cambria" w:hAnsi="Cambria" w:cs="Cambria"/>
                <w:i/>
                <w:sz w:val="18"/>
                <w:szCs w:val="18"/>
                <w:highlight w:val="yellow"/>
              </w:rPr>
              <w:t>xx xx xxxx</w:t>
            </w:r>
          </w:p>
          <w:p w14:paraId="316DFA3A" w14:textId="77777777" w:rsidR="00166399" w:rsidRDefault="003B0A72">
            <w:pPr>
              <w:pBdr>
                <w:bottom w:val="single" w:sz="8" w:space="1" w:color="ED7D31"/>
              </w:pBdr>
              <w:spacing w:after="0" w:line="240" w:lineRule="auto"/>
              <w:rPr>
                <w:rFonts w:ascii="Cambria" w:eastAsia="Cambria" w:hAnsi="Cambria" w:cs="Cambria"/>
                <w:i/>
                <w:sz w:val="18"/>
                <w:szCs w:val="18"/>
              </w:rPr>
            </w:pPr>
            <w:r>
              <w:rPr>
                <w:rFonts w:ascii="Cambria" w:eastAsia="Cambria" w:hAnsi="Cambria" w:cs="Cambria"/>
                <w:i/>
                <w:sz w:val="18"/>
                <w:szCs w:val="18"/>
              </w:rPr>
              <w:t xml:space="preserve">First Available online </w:t>
            </w:r>
            <w:r>
              <w:rPr>
                <w:rFonts w:ascii="Cambria" w:eastAsia="Cambria" w:hAnsi="Cambria" w:cs="Cambria"/>
                <w:i/>
                <w:sz w:val="18"/>
                <w:szCs w:val="18"/>
                <w:highlight w:val="yellow"/>
              </w:rPr>
              <w:t>xx xx xxxx</w:t>
            </w:r>
          </w:p>
          <w:p w14:paraId="63255950" w14:textId="77777777" w:rsidR="00166399" w:rsidRDefault="003B0A72">
            <w:pPr>
              <w:pBdr>
                <w:bottom w:val="single" w:sz="8" w:space="1" w:color="ED7D31"/>
              </w:pBdr>
              <w:spacing w:after="0" w:line="240" w:lineRule="auto"/>
              <w:rPr>
                <w:rFonts w:ascii="Cambria" w:eastAsia="Cambria" w:hAnsi="Cambria" w:cs="Cambria"/>
                <w:i/>
                <w:sz w:val="18"/>
                <w:szCs w:val="18"/>
              </w:rPr>
            </w:pPr>
            <w:r>
              <w:rPr>
                <w:rFonts w:ascii="Cambria" w:eastAsia="Cambria" w:hAnsi="Cambria" w:cs="Cambria"/>
                <w:i/>
                <w:sz w:val="18"/>
                <w:szCs w:val="18"/>
              </w:rPr>
              <w:t xml:space="preserve">Publication Date </w:t>
            </w:r>
            <w:r>
              <w:rPr>
                <w:rFonts w:ascii="Cambria" w:eastAsia="Cambria" w:hAnsi="Cambria" w:cs="Cambria"/>
                <w:i/>
                <w:sz w:val="18"/>
                <w:szCs w:val="18"/>
                <w:highlight w:val="yellow"/>
              </w:rPr>
              <w:t>xx xx xxxx</w:t>
            </w:r>
          </w:p>
          <w:p w14:paraId="2AE02E87" w14:textId="77777777" w:rsidR="00166399" w:rsidRDefault="003B0A72">
            <w:pPr>
              <w:spacing w:after="0" w:line="240" w:lineRule="auto"/>
              <w:rPr>
                <w:rFonts w:ascii="Cambria" w:eastAsia="Cambria" w:hAnsi="Cambria" w:cs="Cambria"/>
                <w:b/>
                <w:i/>
                <w:sz w:val="18"/>
                <w:szCs w:val="18"/>
              </w:rPr>
            </w:pPr>
            <w:r>
              <w:rPr>
                <w:rFonts w:ascii="Cambria" w:eastAsia="Cambria" w:hAnsi="Cambria" w:cs="Cambria"/>
                <w:b/>
                <w:i/>
                <w:sz w:val="18"/>
                <w:szCs w:val="18"/>
              </w:rPr>
              <w:t>Keyword:</w:t>
            </w:r>
          </w:p>
          <w:p w14:paraId="7565AA0F" w14:textId="77777777" w:rsidR="00166399" w:rsidRDefault="003B0A72">
            <w:pPr>
              <w:spacing w:after="0" w:line="240" w:lineRule="auto"/>
              <w:rPr>
                <w:rFonts w:ascii="Cambria" w:eastAsia="Cambria" w:hAnsi="Cambria" w:cs="Cambria"/>
                <w:i/>
                <w:sz w:val="18"/>
                <w:szCs w:val="18"/>
              </w:rPr>
            </w:pPr>
            <w:r>
              <w:rPr>
                <w:rFonts w:ascii="Cambria" w:eastAsia="Cambria" w:hAnsi="Cambria" w:cs="Cambria"/>
                <w:i/>
                <w:sz w:val="18"/>
                <w:szCs w:val="18"/>
              </w:rPr>
              <w:t>3-5 Keywords, alphabetical</w:t>
            </w:r>
          </w:p>
          <w:p w14:paraId="583A0A6B" w14:textId="77777777" w:rsidR="00166399" w:rsidRDefault="00166399">
            <w:pPr>
              <w:spacing w:after="0" w:line="240" w:lineRule="auto"/>
              <w:rPr>
                <w:i/>
                <w:sz w:val="18"/>
                <w:szCs w:val="18"/>
              </w:rPr>
            </w:pPr>
          </w:p>
        </w:tc>
      </w:tr>
    </w:tbl>
    <w:p w14:paraId="535F8934" w14:textId="77777777" w:rsidR="00166399" w:rsidRDefault="003B0A72">
      <w:pPr>
        <w:spacing w:line="240" w:lineRule="auto"/>
        <w:rPr>
          <w:b/>
        </w:rPr>
        <w:sectPr w:rsidR="00166399">
          <w:headerReference w:type="even" r:id="rId8"/>
          <w:footerReference w:type="even" r:id="rId9"/>
          <w:footerReference w:type="default" r:id="rId10"/>
          <w:headerReference w:type="first" r:id="rId11"/>
          <w:pgSz w:w="11906" w:h="16838"/>
          <w:pgMar w:top="720" w:right="1440" w:bottom="1440" w:left="1440" w:header="720" w:footer="720" w:gutter="0"/>
          <w:pgNumType w:start="167"/>
          <w:cols w:space="720"/>
          <w:titlePg/>
        </w:sectPr>
      </w:pPr>
      <w:r>
        <w:rPr>
          <w:noProof/>
        </w:rPr>
        <mc:AlternateContent>
          <mc:Choice Requires="wpg">
            <w:drawing>
              <wp:anchor distT="4294967294" distB="4294967294" distL="114300" distR="114300" simplePos="0" relativeHeight="251661312" behindDoc="0" locked="0" layoutInCell="1" hidden="0" allowOverlap="1" wp14:anchorId="5478D99D" wp14:editId="3B4135A6">
                <wp:simplePos x="0" y="0"/>
                <wp:positionH relativeFrom="column">
                  <wp:posOffset>-546099</wp:posOffset>
                </wp:positionH>
                <wp:positionV relativeFrom="paragraph">
                  <wp:posOffset>157495</wp:posOffset>
                </wp:positionV>
                <wp:extent cx="6648450" cy="22225"/>
                <wp:effectExtent l="0" t="0" r="0" b="0"/>
                <wp:wrapNone/>
                <wp:docPr id="34" name="Straight Arrow Connector 34"/>
                <wp:cNvGraphicFramePr/>
                <a:graphic xmlns:a="http://schemas.openxmlformats.org/drawingml/2006/main">
                  <a:graphicData uri="http://schemas.microsoft.com/office/word/2010/wordprocessingShape">
                    <wps:wsp>
                      <wps:cNvCnPr/>
                      <wps:spPr>
                        <a:xfrm>
                          <a:off x="2026538" y="3780000"/>
                          <a:ext cx="6638925" cy="0"/>
                        </a:xfrm>
                        <a:prstGeom prst="straightConnector1">
                          <a:avLst/>
                        </a:prstGeom>
                        <a:noFill/>
                        <a:ln w="9525" cap="flat" cmpd="sng">
                          <a:solidFill>
                            <a:schemeClr val="accent2"/>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294967294" distT="4294967294" distL="114300" distR="114300" hidden="0" layoutInCell="1" locked="0" relativeHeight="0" simplePos="0">
                <wp:simplePos x="0" y="0"/>
                <wp:positionH relativeFrom="column">
                  <wp:posOffset>-546099</wp:posOffset>
                </wp:positionH>
                <wp:positionV relativeFrom="paragraph">
                  <wp:posOffset>157495</wp:posOffset>
                </wp:positionV>
                <wp:extent cx="6648450" cy="22225"/>
                <wp:effectExtent b="0" l="0" r="0" t="0"/>
                <wp:wrapNone/>
                <wp:docPr id="34"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6648450" cy="22225"/>
                        </a:xfrm>
                        <a:prstGeom prst="rect"/>
                        <a:ln/>
                      </pic:spPr>
                    </pic:pic>
                  </a:graphicData>
                </a:graphic>
              </wp:anchor>
            </w:drawing>
          </mc:Fallback>
        </mc:AlternateContent>
      </w:r>
    </w:p>
    <w:p w14:paraId="131F6397" w14:textId="77777777" w:rsidR="00166399" w:rsidRDefault="00166399">
      <w:pPr>
        <w:spacing w:after="0" w:line="240" w:lineRule="auto"/>
        <w:rPr>
          <w:b/>
        </w:rPr>
        <w:sectPr w:rsidR="00166399">
          <w:footerReference w:type="default" r:id="rId13"/>
          <w:headerReference w:type="first" r:id="rId14"/>
          <w:type w:val="continuous"/>
          <w:pgSz w:w="11906" w:h="16838"/>
          <w:pgMar w:top="1135" w:right="1440" w:bottom="1440" w:left="1440" w:header="708" w:footer="890" w:gutter="0"/>
          <w:cols w:num="2" w:space="720" w:equalWidth="0">
            <w:col w:w="4371" w:space="284"/>
            <w:col w:w="4371" w:space="0"/>
          </w:cols>
        </w:sectPr>
      </w:pPr>
    </w:p>
    <w:p w14:paraId="363C4736" w14:textId="77777777" w:rsidR="00166399" w:rsidRDefault="003B0A72">
      <w:pPr>
        <w:spacing w:after="0" w:line="240" w:lineRule="auto"/>
        <w:jc w:val="both"/>
        <w:rPr>
          <w:rFonts w:ascii="Cambria" w:eastAsia="Cambria" w:hAnsi="Cambria" w:cs="Cambria"/>
          <w:b/>
        </w:rPr>
      </w:pPr>
      <w:r>
        <w:br w:type="page"/>
      </w:r>
      <w:r>
        <w:rPr>
          <w:rFonts w:ascii="Cambria" w:eastAsia="Cambria" w:hAnsi="Cambria" w:cs="Cambria"/>
          <w:b/>
        </w:rPr>
        <w:lastRenderedPageBreak/>
        <w:t>1. INTRODUCTION</w:t>
      </w:r>
    </w:p>
    <w:p w14:paraId="4184B4AA" w14:textId="77777777" w:rsidR="00166399" w:rsidRDefault="00166399">
      <w:pPr>
        <w:spacing w:after="0" w:line="240" w:lineRule="auto"/>
        <w:jc w:val="both"/>
        <w:rPr>
          <w:rFonts w:ascii="Cambria" w:eastAsia="Cambria" w:hAnsi="Cambria" w:cs="Cambria"/>
          <w:b/>
        </w:rPr>
      </w:pPr>
    </w:p>
    <w:p w14:paraId="1B13B3A1" w14:textId="77777777" w:rsidR="00166399" w:rsidRDefault="003B0A72">
      <w:pPr>
        <w:spacing w:after="0" w:line="240" w:lineRule="auto"/>
        <w:ind w:firstLine="274"/>
        <w:jc w:val="both"/>
        <w:rPr>
          <w:rFonts w:ascii="Cambria" w:eastAsia="Cambria" w:hAnsi="Cambria" w:cs="Cambria"/>
        </w:rPr>
      </w:pPr>
      <w:r>
        <w:rPr>
          <w:rFonts w:ascii="Cambria" w:eastAsia="Cambria" w:hAnsi="Cambria" w:cs="Cambria"/>
        </w:rPr>
        <w:t>This work researches the influence of the home environment on the academic performance of pupils, a case study of pupils in Isolo Local Government of Lagos state. From the beginning, the Nigerian environment is associated with unclassified problems entangled with an impoverished outlook and being devoid of the most modern facilities and infrastructure that could sustain an urban area. This is manifested in the standard of living and the contributions of the people towards national development.</w:t>
      </w:r>
    </w:p>
    <w:p w14:paraId="5DDEE11B" w14:textId="77777777" w:rsidR="00166399" w:rsidRDefault="003B0A72">
      <w:pPr>
        <w:spacing w:after="0" w:line="240" w:lineRule="auto"/>
        <w:ind w:firstLine="274"/>
        <w:jc w:val="both"/>
        <w:rPr>
          <w:rFonts w:ascii="Cambria" w:eastAsia="Cambria" w:hAnsi="Cambria" w:cs="Cambria"/>
        </w:rPr>
      </w:pPr>
      <w:r>
        <w:rPr>
          <w:rFonts w:ascii="Cambria" w:eastAsia="Cambria" w:hAnsi="Cambria" w:cs="Cambria"/>
        </w:rPr>
        <w:t>This circumvented problem in rural areas has an adverse effect on the pupils’ academic performance. It is imperative therefore to exhume the associated rural problem that affects their academic achievement with the prevailing order in the educational arsenal. Most often than not, there has been a persistent cry about the state of intellectual attainment in the school system. This cry does not include only pupil performance in rural areas but in urban as well.</w:t>
      </w:r>
    </w:p>
    <w:p w14:paraId="4A6EBCCC" w14:textId="77777777" w:rsidR="00166399" w:rsidRDefault="003B0A72">
      <w:pPr>
        <w:spacing w:after="0" w:line="240" w:lineRule="auto"/>
        <w:ind w:firstLine="274"/>
        <w:jc w:val="both"/>
        <w:rPr>
          <w:rFonts w:ascii="Cambria" w:eastAsia="Cambria" w:hAnsi="Cambria" w:cs="Cambria"/>
        </w:rPr>
      </w:pPr>
      <w:r>
        <w:rPr>
          <w:rFonts w:ascii="Cambria" w:eastAsia="Cambria" w:hAnsi="Cambria" w:cs="Cambria"/>
        </w:rPr>
        <w:t xml:space="preserve">Environment according to the Oxford Advanced dictionary is the natural conditions like land, air, and water, in which people, animals, and plants live and also circumstances affecting their life. The environment can be physical or psychological </w:t>
      </w:r>
      <w:r>
        <w:rPr>
          <w:rFonts w:ascii="Cambria" w:eastAsia="Cambria" w:hAnsi="Cambria" w:cs="Cambria"/>
          <w:color w:val="00B0F0"/>
        </w:rPr>
        <w:t>(Rahmat, 2021)</w:t>
      </w:r>
      <w:r>
        <w:rPr>
          <w:rFonts w:ascii="Cambria" w:eastAsia="Cambria" w:hAnsi="Cambria" w:cs="Cambria"/>
        </w:rPr>
        <w:t xml:space="preserve">. The physical environment deals with material aspects such as infrastructure, and availability of resource facilities. The psychological environment includes the home, school community, and significant other people in our lives such as parents, peers, and siblings. The quality of our homes is very significant; some have a history or tradition of formal education and modern influences, while some are not so well equipped. The gadgets, resources, and facilities in both types of the home will influence the learning processes of children born in these homes </w:t>
      </w:r>
      <w:r>
        <w:rPr>
          <w:rFonts w:ascii="Cambria" w:eastAsia="Cambria" w:hAnsi="Cambria" w:cs="Cambria"/>
          <w:color w:val="00B0F0"/>
        </w:rPr>
        <w:t xml:space="preserve">(Abulude </w:t>
      </w:r>
      <w:r>
        <w:rPr>
          <w:rFonts w:ascii="Cambria" w:eastAsia="Cambria" w:hAnsi="Cambria" w:cs="Cambria"/>
          <w:i/>
          <w:color w:val="00B0F0"/>
        </w:rPr>
        <w:t>et al</w:t>
      </w:r>
      <w:r>
        <w:rPr>
          <w:rFonts w:ascii="Cambria" w:eastAsia="Cambria" w:hAnsi="Cambria" w:cs="Cambria"/>
          <w:color w:val="00B0F0"/>
        </w:rPr>
        <w:t>., 2022)</w:t>
      </w:r>
      <w:r>
        <w:rPr>
          <w:rFonts w:ascii="Cambria" w:eastAsia="Cambria" w:hAnsi="Cambria" w:cs="Cambria"/>
        </w:rPr>
        <w:t>.</w:t>
      </w:r>
    </w:p>
    <w:p w14:paraId="154DBED8" w14:textId="77777777" w:rsidR="00166399" w:rsidRDefault="003B0A72">
      <w:pPr>
        <w:spacing w:after="0" w:line="240" w:lineRule="auto"/>
        <w:ind w:firstLine="274"/>
        <w:jc w:val="both"/>
        <w:rPr>
          <w:rFonts w:ascii="Cambria" w:eastAsia="Cambria" w:hAnsi="Cambria" w:cs="Cambria"/>
        </w:rPr>
      </w:pPr>
      <w:r>
        <w:rPr>
          <w:rFonts w:ascii="Cambria" w:eastAsia="Cambria" w:hAnsi="Cambria" w:cs="Cambria"/>
        </w:rPr>
        <w:t>Studies have shown that if a child lives in an impoverished environment for the first four years of life, he is likely to lose as much as, in reading knowledge and skills, general knowledge and skills. “The environment” provides the necessary conditions for both physical and intellectual growth. The African child has often been handicapped by ill health, lack of motivation, nutritional deficiencies, and unfair criticism. This hampers his intellectual development considering such treatment invariably results in a negative self-concept.</w:t>
      </w:r>
    </w:p>
    <w:p w14:paraId="629F2B0D" w14:textId="77777777" w:rsidR="00166399" w:rsidRDefault="003B0A72">
      <w:pPr>
        <w:spacing w:after="0" w:line="240" w:lineRule="auto"/>
        <w:ind w:firstLine="274"/>
        <w:jc w:val="both"/>
        <w:rPr>
          <w:rFonts w:ascii="Cambria" w:eastAsia="Cambria" w:hAnsi="Cambria" w:cs="Cambria"/>
        </w:rPr>
      </w:pPr>
      <w:r>
        <w:rPr>
          <w:rFonts w:ascii="Cambria" w:eastAsia="Cambria" w:hAnsi="Cambria" w:cs="Cambria"/>
        </w:rPr>
        <w:t xml:space="preserve">“Home” is where the child, the parent, or guardians live and from where the child set out to and from school. Home is the first enduring environmental factor in promoting readiness for school work in the child. This is because parents or guardians in the home are the children's first teachers. From the day a child is born and begins to hear, he or she begins to develop literacy as parents and other caring adults, and preschool teachers speak, play, sing, and read to them. As a child moves from infant to toddler and then to preschooler, he learns to be able to read, write, listen, and speak. Early literacy development is a significant part of preparing children to achieve academically. Basic literacy activities that are associated with children’s engagement with texts and success in reading were identified by literacy researchers </w:t>
      </w:r>
      <w:r>
        <w:rPr>
          <w:rFonts w:ascii="Cambria" w:eastAsia="Cambria" w:hAnsi="Cambria" w:cs="Cambria"/>
          <w:color w:val="00B0F0"/>
        </w:rPr>
        <w:t xml:space="preserve">(Dickinson </w:t>
      </w:r>
      <w:r>
        <w:rPr>
          <w:rFonts w:ascii="Cambria" w:eastAsia="Cambria" w:hAnsi="Cambria" w:cs="Cambria"/>
          <w:i/>
          <w:color w:val="00B0F0"/>
        </w:rPr>
        <w:t>et al</w:t>
      </w:r>
      <w:r>
        <w:rPr>
          <w:rFonts w:ascii="Cambria" w:eastAsia="Cambria" w:hAnsi="Cambria" w:cs="Cambria"/>
          <w:color w:val="00B0F0"/>
        </w:rPr>
        <w:t>., 2001; Maulid &amp; Sakti, 2022)</w:t>
      </w:r>
      <w:r>
        <w:rPr>
          <w:rFonts w:ascii="Cambria" w:eastAsia="Cambria" w:hAnsi="Cambria" w:cs="Cambria"/>
        </w:rPr>
        <w:t xml:space="preserve"> include; oral language development, which includes book reading, phoneme awareness activities (acquired through nursery rhymes jingles poetry and books that contain words with rhymes). The influence of parents especially, Mothers on children's early literacy acquisition and subsequent school achievement is well documented in numerous studies </w:t>
      </w:r>
      <w:r>
        <w:rPr>
          <w:rFonts w:ascii="Cambria" w:eastAsia="Cambria" w:hAnsi="Cambria" w:cs="Cambria"/>
          <w:color w:val="00B0F0"/>
        </w:rPr>
        <w:t>(Kirby &amp; Hogan, 2008)</w:t>
      </w:r>
      <w:r>
        <w:rPr>
          <w:rFonts w:ascii="Cambria" w:eastAsia="Cambria" w:hAnsi="Cambria" w:cs="Cambria"/>
        </w:rPr>
        <w:t xml:space="preserve">. Research shows that greater parental involvement in children’s learning positively affects the child’s school performance </w:t>
      </w:r>
      <w:r>
        <w:rPr>
          <w:rFonts w:ascii="Cambria" w:eastAsia="Cambria" w:hAnsi="Cambria" w:cs="Cambria"/>
          <w:color w:val="00B0F0"/>
        </w:rPr>
        <w:t xml:space="preserve">(Grace </w:t>
      </w:r>
      <w:r>
        <w:rPr>
          <w:rFonts w:ascii="Cambria" w:eastAsia="Cambria" w:hAnsi="Cambria" w:cs="Cambria"/>
          <w:i/>
          <w:color w:val="00B0F0"/>
        </w:rPr>
        <w:t>et al</w:t>
      </w:r>
      <w:r>
        <w:rPr>
          <w:rFonts w:ascii="Cambria" w:eastAsia="Cambria" w:hAnsi="Cambria" w:cs="Cambria"/>
          <w:color w:val="00B0F0"/>
        </w:rPr>
        <w:t>., 2012)</w:t>
      </w:r>
      <w:r>
        <w:rPr>
          <w:rFonts w:ascii="Cambria" w:eastAsia="Cambria" w:hAnsi="Cambria" w:cs="Cambria"/>
        </w:rPr>
        <w:t xml:space="preserve"> and greater social and emotional development. Parents not only provide good learning experiences, talking with the child, sharing experiences, and teaching but also help to organize a child’s learning experiences. Also, pupils with richer </w:t>
      </w:r>
      <w:r>
        <w:rPr>
          <w:rFonts w:ascii="Cambria" w:eastAsia="Cambria" w:hAnsi="Cambria" w:cs="Cambria"/>
        </w:rPr>
        <w:lastRenderedPageBreak/>
        <w:t xml:space="preserve">home literacy environments demonstrate higher levels of reading knowledge and skills than those with low academic exposures. Psychologists have also discovered from various studies that heredity goes a long way to determine a child’s intelligence and consequently the level of his academic performance in a given environment. Those children whose parents are noted for higher intelligence quotient are bound to inherit such traits through genetic transfer and such children are sometimes referred to as a chip of the old block </w:t>
      </w:r>
      <w:r>
        <w:rPr>
          <w:rFonts w:ascii="Cambria" w:eastAsia="Cambria" w:hAnsi="Cambria" w:cs="Cambria"/>
          <w:color w:val="00B0F0"/>
        </w:rPr>
        <w:t xml:space="preserve">(Palma </w:t>
      </w:r>
      <w:r>
        <w:rPr>
          <w:rFonts w:ascii="Cambria" w:eastAsia="Cambria" w:hAnsi="Cambria" w:cs="Cambria"/>
          <w:i/>
          <w:color w:val="00B0F0"/>
        </w:rPr>
        <w:t>et al</w:t>
      </w:r>
      <w:r>
        <w:rPr>
          <w:rFonts w:ascii="Cambria" w:eastAsia="Cambria" w:hAnsi="Cambria" w:cs="Cambria"/>
          <w:color w:val="00B0F0"/>
        </w:rPr>
        <w:t xml:space="preserve">., 2021; Fareeda </w:t>
      </w:r>
      <w:r>
        <w:rPr>
          <w:rFonts w:ascii="Cambria" w:eastAsia="Cambria" w:hAnsi="Cambria" w:cs="Cambria"/>
          <w:i/>
          <w:color w:val="00B0F0"/>
        </w:rPr>
        <w:t>et al</w:t>
      </w:r>
      <w:r>
        <w:rPr>
          <w:rFonts w:ascii="Cambria" w:eastAsia="Cambria" w:hAnsi="Cambria" w:cs="Cambria"/>
          <w:color w:val="00B0F0"/>
        </w:rPr>
        <w:t>., 2023)</w:t>
      </w:r>
      <w:r>
        <w:rPr>
          <w:rFonts w:ascii="Cambria" w:eastAsia="Cambria" w:hAnsi="Cambria" w:cs="Cambria"/>
        </w:rPr>
        <w:t>. It has also been observed that children of well-to-do parents sometimes perform below academic standards because they often waste most of their valued time watching television, video films, and programs or even wandered away from home. While some children of very poor family backgrounds struggle very hard to become great achievers. In conclusion, parents contribute a lot to the academic performance of their children in school, it is assumed that students from homes that do not have an interest in education tend to perform poorly in subjects like Basic Science, English Language, Mathematics, and Local language among others. This is because they lack encouragement and incentives from their parents which affects them negatively. Therefore, the home is expected to provide a good atmosphere to enhance students learning.</w:t>
      </w:r>
    </w:p>
    <w:p w14:paraId="0F436F9C" w14:textId="77777777" w:rsidR="00166399" w:rsidRDefault="003B0A72">
      <w:pPr>
        <w:spacing w:after="0" w:line="240" w:lineRule="auto"/>
        <w:ind w:firstLine="274"/>
        <w:jc w:val="both"/>
        <w:rPr>
          <w:rFonts w:ascii="Cambria" w:eastAsia="Cambria" w:hAnsi="Cambria" w:cs="Cambria"/>
        </w:rPr>
      </w:pPr>
      <w:r>
        <w:rPr>
          <w:rFonts w:ascii="Cambria" w:eastAsia="Cambria" w:hAnsi="Cambria" w:cs="Cambria"/>
        </w:rPr>
        <w:t xml:space="preserve">Most people hold the view that the home environment of a child affects his academic performance. Today, most parents are not highly involved in the early academic acquisition of their children. In the home mothers are the first teachers, they are caregivers and minders of the child during the critical period of their development, though fathers do as well </w:t>
      </w:r>
      <w:r>
        <w:rPr>
          <w:rFonts w:ascii="Cambria" w:eastAsia="Cambria" w:hAnsi="Cambria" w:cs="Cambria"/>
          <w:color w:val="00B0F0"/>
        </w:rPr>
        <w:t>(Reay, 1999; Schofield &amp; Beek, 2005)</w:t>
      </w:r>
      <w:r>
        <w:rPr>
          <w:rFonts w:ascii="Cambria" w:eastAsia="Cambria" w:hAnsi="Cambria" w:cs="Cambria"/>
        </w:rPr>
        <w:t>. The problem arises from the fact that the jobs of so many parents are so demanding and this may explain why they do not have ample time for their children. Some parents are either unable or refuse to provide the basic need of their child due to the socio-economic attainment existing among the various homes in highly civilized areas and this also affects the academic performance in the school. The thrust of this project is to critically examine and analyze the effect of home background on the academic performance of students. Though this research was carried out elsewhere, little or no effort has been made in the past to carry out this research in the Isolo Local Government of Lagos State. This work seeks to investigate how the role played by the home, directly or indirectly affects the student’s academic performance. To investigate this, therefore, the following questions will be considered.</w:t>
      </w:r>
    </w:p>
    <w:p w14:paraId="291D7E01" w14:textId="77777777" w:rsidR="00166399" w:rsidRDefault="003B0A72">
      <w:pPr>
        <w:spacing w:after="0" w:line="240" w:lineRule="auto"/>
        <w:ind w:firstLine="272"/>
        <w:jc w:val="both"/>
        <w:rPr>
          <w:rFonts w:ascii="Cambria" w:eastAsia="Cambria" w:hAnsi="Cambria" w:cs="Cambria"/>
        </w:rPr>
      </w:pPr>
      <w:r>
        <w:rPr>
          <w:rFonts w:ascii="Cambria" w:eastAsia="Cambria" w:hAnsi="Cambria" w:cs="Cambria"/>
        </w:rPr>
        <w:t>Research questions are</w:t>
      </w:r>
    </w:p>
    <w:p w14:paraId="6B77A708" w14:textId="77777777" w:rsidR="00166399" w:rsidRDefault="003B0A72">
      <w:pPr>
        <w:numPr>
          <w:ilvl w:val="0"/>
          <w:numId w:val="1"/>
        </w:numPr>
        <w:pBdr>
          <w:top w:val="nil"/>
          <w:left w:val="nil"/>
          <w:bottom w:val="nil"/>
          <w:right w:val="nil"/>
          <w:between w:val="nil"/>
        </w:pBdr>
        <w:spacing w:after="0" w:line="240" w:lineRule="auto"/>
        <w:ind w:left="357" w:hanging="357"/>
        <w:jc w:val="both"/>
        <w:rPr>
          <w:rFonts w:ascii="Cambria" w:eastAsia="Cambria" w:hAnsi="Cambria" w:cs="Cambria"/>
          <w:color w:val="000000"/>
        </w:rPr>
      </w:pPr>
      <w:r>
        <w:rPr>
          <w:rFonts w:ascii="Cambria" w:eastAsia="Cambria" w:hAnsi="Cambria" w:cs="Cambria"/>
          <w:color w:val="000000"/>
        </w:rPr>
        <w:t>What is the extent of the effect of the socio-economic status of parents on students’ academic performance in some selected primary schools in the Isolo Local Government Area?</w:t>
      </w:r>
    </w:p>
    <w:p w14:paraId="684FC05C" w14:textId="77777777" w:rsidR="00166399" w:rsidRDefault="003B0A72">
      <w:pPr>
        <w:numPr>
          <w:ilvl w:val="0"/>
          <w:numId w:val="1"/>
        </w:numPr>
        <w:pBdr>
          <w:top w:val="nil"/>
          <w:left w:val="nil"/>
          <w:bottom w:val="nil"/>
          <w:right w:val="nil"/>
          <w:between w:val="nil"/>
        </w:pBdr>
        <w:spacing w:after="0" w:line="240" w:lineRule="auto"/>
        <w:ind w:left="357" w:hanging="357"/>
        <w:jc w:val="both"/>
        <w:rPr>
          <w:rFonts w:ascii="Cambria" w:eastAsia="Cambria" w:hAnsi="Cambria" w:cs="Cambria"/>
          <w:color w:val="000000"/>
        </w:rPr>
      </w:pPr>
      <w:r>
        <w:rPr>
          <w:rFonts w:ascii="Cambria" w:eastAsia="Cambria" w:hAnsi="Cambria" w:cs="Cambria"/>
          <w:color w:val="000000"/>
        </w:rPr>
        <w:t>What is the extent of the academic status of the parent on students’ academic performance in some selected primary schools in the Isolo Local Government Area?</w:t>
      </w:r>
    </w:p>
    <w:p w14:paraId="56937D56" w14:textId="77777777" w:rsidR="00166399" w:rsidRDefault="003B0A72">
      <w:pPr>
        <w:spacing w:after="0" w:line="240" w:lineRule="auto"/>
        <w:ind w:firstLine="272"/>
        <w:jc w:val="both"/>
        <w:rPr>
          <w:rFonts w:ascii="Cambria" w:eastAsia="Cambria" w:hAnsi="Cambria" w:cs="Cambria"/>
        </w:rPr>
      </w:pPr>
      <w:r>
        <w:rPr>
          <w:rFonts w:ascii="Cambria" w:eastAsia="Cambria" w:hAnsi="Cambria" w:cs="Cambria"/>
        </w:rPr>
        <w:t>For this study, the following hypotheses were formulated:</w:t>
      </w:r>
    </w:p>
    <w:p w14:paraId="733C2601" w14:textId="77777777" w:rsidR="00166399" w:rsidRDefault="003B0A72">
      <w:pPr>
        <w:numPr>
          <w:ilvl w:val="0"/>
          <w:numId w:val="2"/>
        </w:numPr>
        <w:pBdr>
          <w:top w:val="nil"/>
          <w:left w:val="nil"/>
          <w:bottom w:val="nil"/>
          <w:right w:val="nil"/>
          <w:between w:val="nil"/>
        </w:pBdr>
        <w:spacing w:after="0" w:line="240" w:lineRule="auto"/>
        <w:ind w:left="357" w:hanging="357"/>
        <w:jc w:val="both"/>
        <w:rPr>
          <w:rFonts w:ascii="Cambria" w:eastAsia="Cambria" w:hAnsi="Cambria" w:cs="Cambria"/>
          <w:color w:val="000000"/>
        </w:rPr>
      </w:pPr>
      <w:r>
        <w:rPr>
          <w:rFonts w:ascii="Cambria" w:eastAsia="Cambria" w:hAnsi="Cambria" w:cs="Cambria"/>
          <w:color w:val="000000"/>
        </w:rPr>
        <w:t>There will be no significant difference in the academic performance of pupils due to parental social economic background.</w:t>
      </w:r>
    </w:p>
    <w:p w14:paraId="658AE56E" w14:textId="77777777" w:rsidR="00166399" w:rsidRDefault="003B0A72">
      <w:pPr>
        <w:numPr>
          <w:ilvl w:val="0"/>
          <w:numId w:val="2"/>
        </w:numPr>
        <w:pBdr>
          <w:top w:val="nil"/>
          <w:left w:val="nil"/>
          <w:bottom w:val="nil"/>
          <w:right w:val="nil"/>
          <w:between w:val="nil"/>
        </w:pBdr>
        <w:spacing w:line="240" w:lineRule="auto"/>
        <w:ind w:left="357" w:hanging="357"/>
        <w:jc w:val="both"/>
        <w:rPr>
          <w:rFonts w:ascii="Cambria" w:eastAsia="Cambria" w:hAnsi="Cambria" w:cs="Cambria"/>
          <w:color w:val="000000"/>
        </w:rPr>
      </w:pPr>
      <w:r>
        <w:rPr>
          <w:rFonts w:ascii="Cambria" w:eastAsia="Cambria" w:hAnsi="Cambria" w:cs="Cambria"/>
          <w:color w:val="000000"/>
        </w:rPr>
        <w:t>There will be no significant difference in the academic performance of pupils due to parental academic background.</w:t>
      </w:r>
    </w:p>
    <w:p w14:paraId="1C908A8D" w14:textId="77777777" w:rsidR="00166399" w:rsidRDefault="00166399">
      <w:pPr>
        <w:spacing w:after="0" w:line="240" w:lineRule="auto"/>
        <w:jc w:val="both"/>
        <w:rPr>
          <w:rFonts w:ascii="Cambria" w:eastAsia="Cambria" w:hAnsi="Cambria" w:cs="Cambria"/>
        </w:rPr>
      </w:pPr>
    </w:p>
    <w:p w14:paraId="701FF1AD" w14:textId="77777777" w:rsidR="00166399" w:rsidRDefault="003B0A72">
      <w:pPr>
        <w:spacing w:after="0" w:line="240" w:lineRule="auto"/>
        <w:jc w:val="both"/>
        <w:rPr>
          <w:rFonts w:ascii="Cambria" w:eastAsia="Cambria" w:hAnsi="Cambria" w:cs="Cambria"/>
          <w:b/>
        </w:rPr>
      </w:pPr>
      <w:r>
        <w:rPr>
          <w:rFonts w:ascii="Cambria" w:eastAsia="Cambria" w:hAnsi="Cambria" w:cs="Cambria"/>
          <w:b/>
        </w:rPr>
        <w:t>2. METHODS</w:t>
      </w:r>
    </w:p>
    <w:p w14:paraId="14876B5E" w14:textId="77777777" w:rsidR="00166399" w:rsidRDefault="00166399">
      <w:pPr>
        <w:spacing w:after="0" w:line="240" w:lineRule="auto"/>
        <w:jc w:val="both"/>
        <w:rPr>
          <w:rFonts w:ascii="Cambria" w:eastAsia="Cambria" w:hAnsi="Cambria" w:cs="Cambria"/>
          <w:b/>
        </w:rPr>
      </w:pPr>
    </w:p>
    <w:p w14:paraId="2A2EAFD2" w14:textId="77777777" w:rsidR="00166399" w:rsidRDefault="003B0A72">
      <w:pPr>
        <w:spacing w:after="0" w:line="240" w:lineRule="auto"/>
        <w:ind w:firstLine="274"/>
        <w:jc w:val="both"/>
        <w:rPr>
          <w:rFonts w:ascii="Cambria" w:eastAsia="Cambria" w:hAnsi="Cambria" w:cs="Cambria"/>
        </w:rPr>
      </w:pPr>
      <w:r>
        <w:rPr>
          <w:rFonts w:ascii="Cambria" w:eastAsia="Cambria" w:hAnsi="Cambria" w:cs="Cambria"/>
        </w:rPr>
        <w:t xml:space="preserve">This study aimed to find out the influence of the home environment on the academic performance of pupils in a school in the Isolo Local Government Area of Lagos State. Thus, a simple survey research technique was employed. A research design refers to the plan and structure of the investigation used to obtain evidence to answer research questions. </w:t>
      </w:r>
      <w:r>
        <w:rPr>
          <w:rFonts w:ascii="Cambria" w:eastAsia="Cambria" w:hAnsi="Cambria" w:cs="Cambria"/>
        </w:rPr>
        <w:lastRenderedPageBreak/>
        <w:t xml:space="preserve">Good research is therefore not accidental. Thus, a qualitative simple survey research technique was employed for use in this study. It is good at surfacing deep issues and making voices heard and was thus found suitable to explore the influence of the home environment on the academic performance of pupils in a school in the Isolo Local Government Area of Lagos State. It also allows the researcher to gain an understanding of social phenomena from participants’ perspectives in their natural settings </w:t>
      </w:r>
      <w:r>
        <w:rPr>
          <w:rFonts w:ascii="Cambria" w:eastAsia="Cambria" w:hAnsi="Cambria" w:cs="Cambria"/>
          <w:color w:val="00B0F0"/>
        </w:rPr>
        <w:t xml:space="preserve">(Darke </w:t>
      </w:r>
      <w:r>
        <w:rPr>
          <w:rFonts w:ascii="Cambria" w:eastAsia="Cambria" w:hAnsi="Cambria" w:cs="Cambria"/>
          <w:i/>
          <w:color w:val="00B0F0"/>
        </w:rPr>
        <w:t>et al</w:t>
      </w:r>
      <w:r>
        <w:rPr>
          <w:rFonts w:ascii="Cambria" w:eastAsia="Cambria" w:hAnsi="Cambria" w:cs="Cambria"/>
          <w:color w:val="00B0F0"/>
        </w:rPr>
        <w:t>., 1998)</w:t>
      </w:r>
      <w:r>
        <w:rPr>
          <w:rFonts w:ascii="Cambria" w:eastAsia="Cambria" w:hAnsi="Cambria" w:cs="Cambria"/>
        </w:rPr>
        <w:t>.</w:t>
      </w:r>
    </w:p>
    <w:p w14:paraId="5C1BC761" w14:textId="77777777" w:rsidR="00166399" w:rsidRDefault="003B0A72">
      <w:pPr>
        <w:spacing w:line="240" w:lineRule="auto"/>
        <w:ind w:firstLine="274"/>
        <w:jc w:val="both"/>
        <w:rPr>
          <w:rFonts w:ascii="Cambria" w:eastAsia="Cambria" w:hAnsi="Cambria" w:cs="Cambria"/>
        </w:rPr>
      </w:pPr>
      <w:r>
        <w:rPr>
          <w:rFonts w:ascii="Cambria" w:eastAsia="Cambria" w:hAnsi="Cambria" w:cs="Cambria"/>
        </w:rPr>
        <w:t>For our data collection, the questionnaire method was used. Where necessary, however, a face-to-face interview was conducted in addition to the questionnaire. The question was divided into two sections – A and B. Section A consists of Question 1 and was aimed at eliciting demographic information about the respondents. They are based on age, sex, and parental background.</w:t>
      </w:r>
    </w:p>
    <w:p w14:paraId="30BCC801" w14:textId="77777777" w:rsidR="00166399" w:rsidRDefault="00166399">
      <w:pPr>
        <w:spacing w:after="0" w:line="240" w:lineRule="auto"/>
        <w:ind w:firstLine="272"/>
        <w:jc w:val="both"/>
        <w:rPr>
          <w:rFonts w:ascii="Cambria" w:eastAsia="Cambria" w:hAnsi="Cambria" w:cs="Cambria"/>
        </w:rPr>
      </w:pPr>
    </w:p>
    <w:p w14:paraId="55519A31" w14:textId="77777777" w:rsidR="00166399" w:rsidRDefault="003B0A72">
      <w:pPr>
        <w:spacing w:after="0" w:line="240" w:lineRule="auto"/>
        <w:jc w:val="both"/>
        <w:rPr>
          <w:rFonts w:ascii="Cambria" w:eastAsia="Cambria" w:hAnsi="Cambria" w:cs="Cambria"/>
          <w:b/>
        </w:rPr>
      </w:pPr>
      <w:r>
        <w:rPr>
          <w:rFonts w:ascii="Cambria" w:eastAsia="Cambria" w:hAnsi="Cambria" w:cs="Cambria"/>
          <w:b/>
        </w:rPr>
        <w:t>3. RESULTS AND DISCUSSION</w:t>
      </w:r>
    </w:p>
    <w:p w14:paraId="36951CBF" w14:textId="77777777" w:rsidR="00166399" w:rsidRDefault="00166399">
      <w:pPr>
        <w:spacing w:after="0" w:line="240" w:lineRule="auto"/>
        <w:jc w:val="both"/>
        <w:rPr>
          <w:rFonts w:ascii="Cambria" w:eastAsia="Cambria" w:hAnsi="Cambria" w:cs="Cambria"/>
          <w:b/>
        </w:rPr>
      </w:pPr>
    </w:p>
    <w:p w14:paraId="117CA827" w14:textId="77777777" w:rsidR="00166399" w:rsidRDefault="003B0A72">
      <w:pPr>
        <w:spacing w:line="240" w:lineRule="auto"/>
        <w:ind w:firstLine="274"/>
        <w:jc w:val="both"/>
        <w:rPr>
          <w:rFonts w:ascii="Cambria" w:eastAsia="Cambria" w:hAnsi="Cambria" w:cs="Cambria"/>
          <w:color w:val="000000"/>
        </w:rPr>
      </w:pPr>
      <w:bookmarkStart w:id="1" w:name="_heading=h.3znysh7" w:colFirst="0" w:colLast="0"/>
      <w:bookmarkEnd w:id="1"/>
      <w:r>
        <w:rPr>
          <w:rFonts w:ascii="Cambria" w:eastAsia="Cambria" w:hAnsi="Cambria" w:cs="Cambria"/>
        </w:rPr>
        <w:t xml:space="preserve">In all one hundred and fifty questionnaires were administered based on thirty (30) questionnaires to each of the five primary schools selected for the study (see </w:t>
      </w:r>
      <w:r>
        <w:rPr>
          <w:rFonts w:ascii="Cambria" w:eastAsia="Cambria" w:hAnsi="Cambria" w:cs="Cambria"/>
          <w:b/>
        </w:rPr>
        <w:t>Table 1</w:t>
      </w:r>
      <w:r>
        <w:rPr>
          <w:rFonts w:ascii="Cambria" w:eastAsia="Cambria" w:hAnsi="Cambria" w:cs="Cambria"/>
        </w:rPr>
        <w:t xml:space="preserve">).  The entire one hundred and fifty questionnaires were retrieved.  This clearly shows 100% of the total questionnaire was administered. </w:t>
      </w:r>
      <w:r>
        <w:rPr>
          <w:rFonts w:ascii="Cambria" w:eastAsia="Cambria" w:hAnsi="Cambria" w:cs="Cambria"/>
          <w:b/>
        </w:rPr>
        <w:t>Table 1</w:t>
      </w:r>
      <w:r>
        <w:rPr>
          <w:rFonts w:ascii="Cambria" w:eastAsia="Cambria" w:hAnsi="Cambria" w:cs="Cambria"/>
        </w:rPr>
        <w:t xml:space="preserve"> shows that there was a total of one hundred and fifty respondents. Out of the respondents, 100(66.7%) were male, while 50(33.3%) were female.  It further reveals heavy dependence on male views. This was not pre-determined and the researcher did not expect that there would be much difference in the views of both males and females.</w:t>
      </w:r>
    </w:p>
    <w:p w14:paraId="764B8EB2" w14:textId="77777777" w:rsidR="00166399" w:rsidRDefault="003B0A72">
      <w:pPr>
        <w:spacing w:line="240" w:lineRule="auto"/>
        <w:jc w:val="center"/>
        <w:rPr>
          <w:rFonts w:ascii="Cambria" w:eastAsia="Cambria" w:hAnsi="Cambria" w:cs="Cambria"/>
        </w:rPr>
      </w:pPr>
      <w:r>
        <w:rPr>
          <w:rFonts w:ascii="Cambria" w:eastAsia="Cambria" w:hAnsi="Cambria" w:cs="Cambria"/>
          <w:b/>
        </w:rPr>
        <w:t>Table 1.</w:t>
      </w:r>
      <w:r>
        <w:rPr>
          <w:rFonts w:ascii="Cambria" w:eastAsia="Cambria" w:hAnsi="Cambria" w:cs="Cambria"/>
        </w:rPr>
        <w:t xml:space="preserve"> Frequency distribution of respondents by sex.</w:t>
      </w:r>
    </w:p>
    <w:tbl>
      <w:tblPr>
        <w:tblStyle w:val="a5"/>
        <w:tblW w:w="8828" w:type="dxa"/>
        <w:tblInd w:w="198" w:type="dxa"/>
        <w:tblBorders>
          <w:top w:val="single" w:sz="4" w:space="0" w:color="000000"/>
          <w:bottom w:val="single" w:sz="4" w:space="0" w:color="000000"/>
        </w:tblBorders>
        <w:tblLayout w:type="fixed"/>
        <w:tblLook w:val="0000" w:firstRow="0" w:lastRow="0" w:firstColumn="0" w:lastColumn="0" w:noHBand="0" w:noVBand="0"/>
      </w:tblPr>
      <w:tblGrid>
        <w:gridCol w:w="3444"/>
        <w:gridCol w:w="2156"/>
        <w:gridCol w:w="3228"/>
      </w:tblGrid>
      <w:tr w:rsidR="00166399" w14:paraId="2617B534" w14:textId="77777777">
        <w:trPr>
          <w:trHeight w:val="20"/>
        </w:trPr>
        <w:tc>
          <w:tcPr>
            <w:tcW w:w="3444" w:type="dxa"/>
            <w:tcBorders>
              <w:top w:val="single" w:sz="4" w:space="0" w:color="000000"/>
              <w:bottom w:val="single" w:sz="4" w:space="0" w:color="000000"/>
            </w:tcBorders>
          </w:tcPr>
          <w:p w14:paraId="4BAE3B26"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Sex</w:t>
            </w:r>
          </w:p>
        </w:tc>
        <w:tc>
          <w:tcPr>
            <w:tcW w:w="2156" w:type="dxa"/>
            <w:tcBorders>
              <w:top w:val="single" w:sz="4" w:space="0" w:color="000000"/>
              <w:bottom w:val="single" w:sz="4" w:space="0" w:color="000000"/>
            </w:tcBorders>
          </w:tcPr>
          <w:p w14:paraId="761FFDA3"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No.</w:t>
            </w:r>
          </w:p>
        </w:tc>
        <w:tc>
          <w:tcPr>
            <w:tcW w:w="3228" w:type="dxa"/>
            <w:tcBorders>
              <w:top w:val="single" w:sz="4" w:space="0" w:color="000000"/>
              <w:bottom w:val="single" w:sz="4" w:space="0" w:color="000000"/>
            </w:tcBorders>
          </w:tcPr>
          <w:p w14:paraId="44525871"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Percentage (%)</w:t>
            </w:r>
          </w:p>
        </w:tc>
      </w:tr>
      <w:tr w:rsidR="00166399" w14:paraId="2CD42739" w14:textId="77777777">
        <w:trPr>
          <w:trHeight w:val="20"/>
        </w:trPr>
        <w:tc>
          <w:tcPr>
            <w:tcW w:w="3444" w:type="dxa"/>
            <w:tcBorders>
              <w:top w:val="single" w:sz="4" w:space="0" w:color="000000"/>
            </w:tcBorders>
          </w:tcPr>
          <w:p w14:paraId="768F50AC"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Male</w:t>
            </w:r>
          </w:p>
        </w:tc>
        <w:tc>
          <w:tcPr>
            <w:tcW w:w="2156" w:type="dxa"/>
            <w:tcBorders>
              <w:top w:val="single" w:sz="4" w:space="0" w:color="000000"/>
            </w:tcBorders>
          </w:tcPr>
          <w:p w14:paraId="7316CCF1"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100</w:t>
            </w:r>
          </w:p>
        </w:tc>
        <w:tc>
          <w:tcPr>
            <w:tcW w:w="3228" w:type="dxa"/>
            <w:tcBorders>
              <w:top w:val="single" w:sz="4" w:space="0" w:color="000000"/>
            </w:tcBorders>
          </w:tcPr>
          <w:p w14:paraId="4CC1407F"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66.7</w:t>
            </w:r>
          </w:p>
        </w:tc>
      </w:tr>
      <w:tr w:rsidR="00166399" w14:paraId="0F6A85A2" w14:textId="77777777">
        <w:trPr>
          <w:trHeight w:val="20"/>
        </w:trPr>
        <w:tc>
          <w:tcPr>
            <w:tcW w:w="3444" w:type="dxa"/>
          </w:tcPr>
          <w:p w14:paraId="61F17C70"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Female</w:t>
            </w:r>
          </w:p>
        </w:tc>
        <w:tc>
          <w:tcPr>
            <w:tcW w:w="2156" w:type="dxa"/>
          </w:tcPr>
          <w:p w14:paraId="083FC083"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50</w:t>
            </w:r>
          </w:p>
        </w:tc>
        <w:tc>
          <w:tcPr>
            <w:tcW w:w="3228" w:type="dxa"/>
          </w:tcPr>
          <w:p w14:paraId="10C923AE"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33.3</w:t>
            </w:r>
          </w:p>
        </w:tc>
      </w:tr>
      <w:tr w:rsidR="00166399" w14:paraId="5B6FE8A6" w14:textId="77777777">
        <w:trPr>
          <w:trHeight w:val="20"/>
        </w:trPr>
        <w:tc>
          <w:tcPr>
            <w:tcW w:w="3444" w:type="dxa"/>
          </w:tcPr>
          <w:p w14:paraId="04954CE8"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Total</w:t>
            </w:r>
          </w:p>
        </w:tc>
        <w:tc>
          <w:tcPr>
            <w:tcW w:w="2156" w:type="dxa"/>
          </w:tcPr>
          <w:p w14:paraId="6EB40478"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150</w:t>
            </w:r>
          </w:p>
        </w:tc>
        <w:tc>
          <w:tcPr>
            <w:tcW w:w="3228" w:type="dxa"/>
          </w:tcPr>
          <w:p w14:paraId="0B1C6589"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100.0</w:t>
            </w:r>
          </w:p>
        </w:tc>
      </w:tr>
    </w:tbl>
    <w:p w14:paraId="6F3D04C3" w14:textId="77777777" w:rsidR="00166399" w:rsidRDefault="00166399">
      <w:pPr>
        <w:spacing w:after="0" w:line="240" w:lineRule="auto"/>
        <w:rPr>
          <w:rFonts w:ascii="Cambria" w:eastAsia="Cambria" w:hAnsi="Cambria" w:cs="Cambria"/>
        </w:rPr>
      </w:pPr>
    </w:p>
    <w:p w14:paraId="12ECB297" w14:textId="77777777" w:rsidR="00166399" w:rsidRDefault="003B0A72">
      <w:pPr>
        <w:spacing w:line="240" w:lineRule="auto"/>
        <w:ind w:firstLine="272"/>
        <w:jc w:val="both"/>
        <w:rPr>
          <w:rFonts w:ascii="Cambria" w:eastAsia="Cambria" w:hAnsi="Cambria" w:cs="Cambria"/>
        </w:rPr>
      </w:pPr>
      <w:r>
        <w:rPr>
          <w:rFonts w:ascii="Cambria" w:eastAsia="Cambria" w:hAnsi="Cambria" w:cs="Cambria"/>
          <w:b/>
        </w:rPr>
        <w:t>Table 2</w:t>
      </w:r>
      <w:r>
        <w:rPr>
          <w:rFonts w:ascii="Cambria" w:eastAsia="Cambria" w:hAnsi="Cambria" w:cs="Cambria"/>
        </w:rPr>
        <w:t xml:space="preserve"> above indicates that most of the respondents fall within the age of 12 years.  This is sixty (60) out of the total respondents of one hundred and fifty or 40%. It also indicates that pupils between the ages of 9 and 10 years began their education at an earlier age.  However, since all the pupils were carefully guided during the process of answering the questionnaire, the results of our findings were believed to be very reliable.</w:t>
      </w:r>
    </w:p>
    <w:p w14:paraId="1D8C072D" w14:textId="77777777" w:rsidR="00166399" w:rsidRDefault="003B0A72">
      <w:pPr>
        <w:spacing w:line="240" w:lineRule="auto"/>
        <w:jc w:val="center"/>
        <w:rPr>
          <w:rFonts w:ascii="Cambria" w:eastAsia="Cambria" w:hAnsi="Cambria" w:cs="Cambria"/>
        </w:rPr>
      </w:pPr>
      <w:r>
        <w:rPr>
          <w:rFonts w:ascii="Cambria" w:eastAsia="Cambria" w:hAnsi="Cambria" w:cs="Cambria"/>
          <w:b/>
        </w:rPr>
        <w:t>Table 2.</w:t>
      </w:r>
      <w:r>
        <w:rPr>
          <w:rFonts w:ascii="Cambria" w:eastAsia="Cambria" w:hAnsi="Cambria" w:cs="Cambria"/>
        </w:rPr>
        <w:t xml:space="preserve"> Frequency distribution of respondents by age.</w:t>
      </w:r>
    </w:p>
    <w:tbl>
      <w:tblPr>
        <w:tblStyle w:val="a6"/>
        <w:tblW w:w="8828" w:type="dxa"/>
        <w:tblInd w:w="198" w:type="dxa"/>
        <w:tblBorders>
          <w:top w:val="single" w:sz="4" w:space="0" w:color="000000"/>
          <w:bottom w:val="single" w:sz="4" w:space="0" w:color="000000"/>
        </w:tblBorders>
        <w:tblLayout w:type="fixed"/>
        <w:tblLook w:val="0000" w:firstRow="0" w:lastRow="0" w:firstColumn="0" w:lastColumn="0" w:noHBand="0" w:noVBand="0"/>
      </w:tblPr>
      <w:tblGrid>
        <w:gridCol w:w="2558"/>
        <w:gridCol w:w="2615"/>
        <w:gridCol w:w="3655"/>
      </w:tblGrid>
      <w:tr w:rsidR="00166399" w14:paraId="0E366AA3" w14:textId="77777777">
        <w:trPr>
          <w:trHeight w:val="20"/>
        </w:trPr>
        <w:tc>
          <w:tcPr>
            <w:tcW w:w="2558" w:type="dxa"/>
            <w:tcBorders>
              <w:top w:val="single" w:sz="4" w:space="0" w:color="000000"/>
              <w:bottom w:val="single" w:sz="4" w:space="0" w:color="000000"/>
            </w:tcBorders>
          </w:tcPr>
          <w:p w14:paraId="1FFC054B"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Age</w:t>
            </w:r>
          </w:p>
        </w:tc>
        <w:tc>
          <w:tcPr>
            <w:tcW w:w="2615" w:type="dxa"/>
            <w:tcBorders>
              <w:top w:val="single" w:sz="4" w:space="0" w:color="000000"/>
              <w:bottom w:val="single" w:sz="4" w:space="0" w:color="000000"/>
            </w:tcBorders>
          </w:tcPr>
          <w:p w14:paraId="2263CDB6"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No.</w:t>
            </w:r>
          </w:p>
        </w:tc>
        <w:tc>
          <w:tcPr>
            <w:tcW w:w="3655" w:type="dxa"/>
            <w:tcBorders>
              <w:top w:val="single" w:sz="4" w:space="0" w:color="000000"/>
              <w:bottom w:val="single" w:sz="4" w:space="0" w:color="000000"/>
            </w:tcBorders>
          </w:tcPr>
          <w:p w14:paraId="69D7932F"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Percentage (%)</w:t>
            </w:r>
          </w:p>
        </w:tc>
      </w:tr>
      <w:tr w:rsidR="00166399" w14:paraId="130C5C07" w14:textId="77777777">
        <w:trPr>
          <w:trHeight w:val="20"/>
        </w:trPr>
        <w:tc>
          <w:tcPr>
            <w:tcW w:w="2558" w:type="dxa"/>
            <w:tcBorders>
              <w:top w:val="single" w:sz="4" w:space="0" w:color="000000"/>
            </w:tcBorders>
          </w:tcPr>
          <w:p w14:paraId="58A5ACA8"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9 years</w:t>
            </w:r>
          </w:p>
        </w:tc>
        <w:tc>
          <w:tcPr>
            <w:tcW w:w="2615" w:type="dxa"/>
            <w:tcBorders>
              <w:top w:val="single" w:sz="4" w:space="0" w:color="000000"/>
            </w:tcBorders>
          </w:tcPr>
          <w:p w14:paraId="66DD80C5"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40</w:t>
            </w:r>
          </w:p>
        </w:tc>
        <w:tc>
          <w:tcPr>
            <w:tcW w:w="3655" w:type="dxa"/>
            <w:tcBorders>
              <w:top w:val="single" w:sz="4" w:space="0" w:color="000000"/>
            </w:tcBorders>
          </w:tcPr>
          <w:p w14:paraId="5AA1FA4E"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26.7</w:t>
            </w:r>
          </w:p>
        </w:tc>
      </w:tr>
      <w:tr w:rsidR="00166399" w14:paraId="6D5FFBB2" w14:textId="77777777">
        <w:trPr>
          <w:trHeight w:val="20"/>
        </w:trPr>
        <w:tc>
          <w:tcPr>
            <w:tcW w:w="2558" w:type="dxa"/>
          </w:tcPr>
          <w:p w14:paraId="5C333C47"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10 years</w:t>
            </w:r>
          </w:p>
        </w:tc>
        <w:tc>
          <w:tcPr>
            <w:tcW w:w="2615" w:type="dxa"/>
          </w:tcPr>
          <w:p w14:paraId="349C516D"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50</w:t>
            </w:r>
          </w:p>
        </w:tc>
        <w:tc>
          <w:tcPr>
            <w:tcW w:w="3655" w:type="dxa"/>
          </w:tcPr>
          <w:p w14:paraId="6BEC9012"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33.3</w:t>
            </w:r>
          </w:p>
        </w:tc>
      </w:tr>
      <w:tr w:rsidR="00166399" w14:paraId="1614A33A" w14:textId="77777777">
        <w:trPr>
          <w:trHeight w:val="20"/>
        </w:trPr>
        <w:tc>
          <w:tcPr>
            <w:tcW w:w="2558" w:type="dxa"/>
          </w:tcPr>
          <w:p w14:paraId="1647D0EE"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12 years</w:t>
            </w:r>
          </w:p>
        </w:tc>
        <w:tc>
          <w:tcPr>
            <w:tcW w:w="2615" w:type="dxa"/>
          </w:tcPr>
          <w:p w14:paraId="5C26F846"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60</w:t>
            </w:r>
          </w:p>
        </w:tc>
        <w:tc>
          <w:tcPr>
            <w:tcW w:w="3655" w:type="dxa"/>
          </w:tcPr>
          <w:p w14:paraId="5E0F9003"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40.0</w:t>
            </w:r>
          </w:p>
        </w:tc>
      </w:tr>
      <w:tr w:rsidR="00166399" w14:paraId="03D2DA01" w14:textId="77777777">
        <w:trPr>
          <w:trHeight w:val="20"/>
        </w:trPr>
        <w:tc>
          <w:tcPr>
            <w:tcW w:w="2558" w:type="dxa"/>
          </w:tcPr>
          <w:p w14:paraId="30C69D45"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Total</w:t>
            </w:r>
          </w:p>
        </w:tc>
        <w:tc>
          <w:tcPr>
            <w:tcW w:w="2615" w:type="dxa"/>
          </w:tcPr>
          <w:p w14:paraId="4E8C388E"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150</w:t>
            </w:r>
          </w:p>
        </w:tc>
        <w:tc>
          <w:tcPr>
            <w:tcW w:w="3655" w:type="dxa"/>
          </w:tcPr>
          <w:p w14:paraId="74628D47"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100.0</w:t>
            </w:r>
          </w:p>
        </w:tc>
      </w:tr>
    </w:tbl>
    <w:p w14:paraId="4B01F98E" w14:textId="77777777" w:rsidR="00166399" w:rsidRDefault="00166399">
      <w:pPr>
        <w:spacing w:after="0" w:line="240" w:lineRule="auto"/>
        <w:jc w:val="both"/>
        <w:rPr>
          <w:rFonts w:ascii="Cambria" w:eastAsia="Cambria" w:hAnsi="Cambria" w:cs="Cambria"/>
        </w:rPr>
      </w:pPr>
    </w:p>
    <w:p w14:paraId="25CFA856" w14:textId="77777777" w:rsidR="00166399" w:rsidRDefault="003B0A72">
      <w:pPr>
        <w:spacing w:after="0" w:line="240" w:lineRule="auto"/>
        <w:ind w:firstLine="272"/>
        <w:jc w:val="both"/>
        <w:rPr>
          <w:rFonts w:ascii="Cambria" w:eastAsia="Cambria" w:hAnsi="Cambria" w:cs="Cambria"/>
        </w:rPr>
      </w:pPr>
      <w:r>
        <w:rPr>
          <w:rFonts w:ascii="Cambria" w:eastAsia="Cambria" w:hAnsi="Cambria" w:cs="Cambria"/>
        </w:rPr>
        <w:t xml:space="preserve">The hypothesis states that there will be no significant difference in the academic performance of pupils due to parental social economic background. To confirm this hypothesis, some questions were used.  This result is reflected in </w:t>
      </w:r>
      <w:r>
        <w:rPr>
          <w:rFonts w:ascii="Cambria" w:eastAsia="Cambria" w:hAnsi="Cambria" w:cs="Cambria"/>
          <w:b/>
        </w:rPr>
        <w:t>Tables 3</w:t>
      </w:r>
      <w:r>
        <w:rPr>
          <w:rFonts w:ascii="Cambria" w:eastAsia="Cambria" w:hAnsi="Cambria" w:cs="Cambria"/>
        </w:rPr>
        <w:t xml:space="preserve"> and </w:t>
      </w:r>
      <w:r>
        <w:rPr>
          <w:rFonts w:ascii="Cambria" w:eastAsia="Cambria" w:hAnsi="Cambria" w:cs="Cambria"/>
          <w:b/>
        </w:rPr>
        <w:t>4</w:t>
      </w:r>
      <w:r>
        <w:rPr>
          <w:rFonts w:ascii="Cambria" w:eastAsia="Cambria" w:hAnsi="Cambria" w:cs="Cambria"/>
        </w:rPr>
        <w:t xml:space="preserve">. </w:t>
      </w:r>
    </w:p>
    <w:p w14:paraId="2A79A65D" w14:textId="77777777" w:rsidR="00166399" w:rsidRDefault="003B0A72">
      <w:pPr>
        <w:spacing w:line="240" w:lineRule="auto"/>
        <w:ind w:firstLine="272"/>
        <w:jc w:val="both"/>
        <w:rPr>
          <w:rFonts w:ascii="Cambria" w:eastAsia="Cambria" w:hAnsi="Cambria" w:cs="Cambria"/>
        </w:rPr>
      </w:pPr>
      <w:r>
        <w:rPr>
          <w:rFonts w:ascii="Cambria" w:eastAsia="Cambria" w:hAnsi="Cambria" w:cs="Cambria"/>
          <w:b/>
        </w:rPr>
        <w:t>Table 3</w:t>
      </w:r>
      <w:r>
        <w:rPr>
          <w:rFonts w:ascii="Cambria" w:eastAsia="Cambria" w:hAnsi="Cambria" w:cs="Cambria"/>
        </w:rPr>
        <w:t xml:space="preserve"> shows that 60(40.0%) of the respondent’s parents were salary earners, while 40(26.7%) were businessmen.  Also, 50(33.3%) of the parents were petty traders.  This means that those parents in the categories of salary earners and businessmen were more likely to cater very well academically for the welfare of their children.</w:t>
      </w:r>
    </w:p>
    <w:p w14:paraId="17EFFD54" w14:textId="77777777" w:rsidR="00166399" w:rsidRDefault="003B0A72">
      <w:pPr>
        <w:spacing w:line="240" w:lineRule="auto"/>
        <w:jc w:val="center"/>
        <w:rPr>
          <w:rFonts w:ascii="Cambria" w:eastAsia="Cambria" w:hAnsi="Cambria" w:cs="Cambria"/>
        </w:rPr>
      </w:pPr>
      <w:r>
        <w:rPr>
          <w:rFonts w:ascii="Cambria" w:eastAsia="Cambria" w:hAnsi="Cambria" w:cs="Cambria"/>
          <w:b/>
        </w:rPr>
        <w:lastRenderedPageBreak/>
        <w:t xml:space="preserve">Table 3. </w:t>
      </w:r>
      <w:r>
        <w:rPr>
          <w:rFonts w:ascii="Cambria" w:eastAsia="Cambria" w:hAnsi="Cambria" w:cs="Cambria"/>
        </w:rPr>
        <w:t>What is your father’s occupation?</w:t>
      </w:r>
    </w:p>
    <w:tbl>
      <w:tblPr>
        <w:tblStyle w:val="a7"/>
        <w:tblW w:w="8918" w:type="dxa"/>
        <w:tblInd w:w="108" w:type="dxa"/>
        <w:tblBorders>
          <w:top w:val="single" w:sz="4" w:space="0" w:color="000000"/>
          <w:bottom w:val="single" w:sz="4" w:space="0" w:color="000000"/>
        </w:tblBorders>
        <w:tblLayout w:type="fixed"/>
        <w:tblLook w:val="0000" w:firstRow="0" w:lastRow="0" w:firstColumn="0" w:lastColumn="0" w:noHBand="0" w:noVBand="0"/>
      </w:tblPr>
      <w:tblGrid>
        <w:gridCol w:w="3635"/>
        <w:gridCol w:w="2233"/>
        <w:gridCol w:w="3050"/>
      </w:tblGrid>
      <w:tr w:rsidR="00166399" w14:paraId="72576D9E" w14:textId="77777777">
        <w:trPr>
          <w:trHeight w:val="20"/>
        </w:trPr>
        <w:tc>
          <w:tcPr>
            <w:tcW w:w="3635" w:type="dxa"/>
            <w:tcBorders>
              <w:top w:val="single" w:sz="4" w:space="0" w:color="000000"/>
              <w:bottom w:val="single" w:sz="4" w:space="0" w:color="000000"/>
            </w:tcBorders>
          </w:tcPr>
          <w:p w14:paraId="6CD63430"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Occupation</w:t>
            </w:r>
          </w:p>
        </w:tc>
        <w:tc>
          <w:tcPr>
            <w:tcW w:w="2233" w:type="dxa"/>
            <w:tcBorders>
              <w:top w:val="single" w:sz="4" w:space="0" w:color="000000"/>
              <w:bottom w:val="single" w:sz="4" w:space="0" w:color="000000"/>
            </w:tcBorders>
          </w:tcPr>
          <w:p w14:paraId="709D09E0"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No.</w:t>
            </w:r>
          </w:p>
        </w:tc>
        <w:tc>
          <w:tcPr>
            <w:tcW w:w="3050" w:type="dxa"/>
            <w:tcBorders>
              <w:top w:val="single" w:sz="4" w:space="0" w:color="000000"/>
              <w:bottom w:val="single" w:sz="4" w:space="0" w:color="000000"/>
            </w:tcBorders>
          </w:tcPr>
          <w:p w14:paraId="5390BAB4"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Percentage (%)</w:t>
            </w:r>
          </w:p>
        </w:tc>
      </w:tr>
      <w:tr w:rsidR="00166399" w14:paraId="3333BDFA" w14:textId="77777777">
        <w:trPr>
          <w:trHeight w:val="20"/>
        </w:trPr>
        <w:tc>
          <w:tcPr>
            <w:tcW w:w="3635" w:type="dxa"/>
            <w:tcBorders>
              <w:top w:val="single" w:sz="4" w:space="0" w:color="000000"/>
            </w:tcBorders>
          </w:tcPr>
          <w:p w14:paraId="1F154BA0"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Salary earner</w:t>
            </w:r>
          </w:p>
        </w:tc>
        <w:tc>
          <w:tcPr>
            <w:tcW w:w="2233" w:type="dxa"/>
            <w:tcBorders>
              <w:top w:val="single" w:sz="4" w:space="0" w:color="000000"/>
            </w:tcBorders>
          </w:tcPr>
          <w:p w14:paraId="0F02EB1B"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60</w:t>
            </w:r>
          </w:p>
        </w:tc>
        <w:tc>
          <w:tcPr>
            <w:tcW w:w="3050" w:type="dxa"/>
            <w:tcBorders>
              <w:top w:val="single" w:sz="4" w:space="0" w:color="000000"/>
            </w:tcBorders>
          </w:tcPr>
          <w:p w14:paraId="7E022433"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40.0</w:t>
            </w:r>
          </w:p>
        </w:tc>
      </w:tr>
      <w:tr w:rsidR="00166399" w14:paraId="0D089067" w14:textId="77777777">
        <w:trPr>
          <w:trHeight w:val="20"/>
        </w:trPr>
        <w:tc>
          <w:tcPr>
            <w:tcW w:w="3635" w:type="dxa"/>
          </w:tcPr>
          <w:p w14:paraId="630BE6A0"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Businessman</w:t>
            </w:r>
          </w:p>
        </w:tc>
        <w:tc>
          <w:tcPr>
            <w:tcW w:w="2233" w:type="dxa"/>
          </w:tcPr>
          <w:p w14:paraId="5A9B7AEA"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40</w:t>
            </w:r>
          </w:p>
        </w:tc>
        <w:tc>
          <w:tcPr>
            <w:tcW w:w="3050" w:type="dxa"/>
          </w:tcPr>
          <w:p w14:paraId="19C74757"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26.7</w:t>
            </w:r>
          </w:p>
        </w:tc>
      </w:tr>
      <w:tr w:rsidR="00166399" w14:paraId="17E93CCE" w14:textId="77777777">
        <w:trPr>
          <w:trHeight w:val="20"/>
        </w:trPr>
        <w:tc>
          <w:tcPr>
            <w:tcW w:w="3635" w:type="dxa"/>
          </w:tcPr>
          <w:p w14:paraId="1C9870F3"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Petty trading</w:t>
            </w:r>
          </w:p>
        </w:tc>
        <w:tc>
          <w:tcPr>
            <w:tcW w:w="2233" w:type="dxa"/>
          </w:tcPr>
          <w:p w14:paraId="1F31D03A"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50</w:t>
            </w:r>
          </w:p>
        </w:tc>
        <w:tc>
          <w:tcPr>
            <w:tcW w:w="3050" w:type="dxa"/>
          </w:tcPr>
          <w:p w14:paraId="550E1284"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33.3</w:t>
            </w:r>
          </w:p>
        </w:tc>
      </w:tr>
      <w:tr w:rsidR="00166399" w14:paraId="3DCEB531" w14:textId="77777777">
        <w:trPr>
          <w:trHeight w:val="20"/>
        </w:trPr>
        <w:tc>
          <w:tcPr>
            <w:tcW w:w="3635" w:type="dxa"/>
          </w:tcPr>
          <w:p w14:paraId="69CE5F0F"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Total</w:t>
            </w:r>
          </w:p>
        </w:tc>
        <w:tc>
          <w:tcPr>
            <w:tcW w:w="2233" w:type="dxa"/>
          </w:tcPr>
          <w:p w14:paraId="2D21B371"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150</w:t>
            </w:r>
          </w:p>
        </w:tc>
        <w:tc>
          <w:tcPr>
            <w:tcW w:w="3050" w:type="dxa"/>
          </w:tcPr>
          <w:p w14:paraId="00EDCC99"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100.0</w:t>
            </w:r>
          </w:p>
        </w:tc>
      </w:tr>
    </w:tbl>
    <w:p w14:paraId="3E09E7B4" w14:textId="77777777" w:rsidR="00166399" w:rsidRDefault="00166399">
      <w:pPr>
        <w:spacing w:after="0" w:line="240" w:lineRule="auto"/>
        <w:jc w:val="both"/>
        <w:rPr>
          <w:rFonts w:ascii="Cambria" w:eastAsia="Cambria" w:hAnsi="Cambria" w:cs="Cambria"/>
        </w:rPr>
      </w:pPr>
    </w:p>
    <w:p w14:paraId="1D0AAD99" w14:textId="77777777" w:rsidR="00166399" w:rsidRDefault="003B0A72">
      <w:pPr>
        <w:spacing w:line="240" w:lineRule="auto"/>
        <w:ind w:firstLine="272"/>
        <w:jc w:val="both"/>
        <w:rPr>
          <w:rFonts w:ascii="Cambria" w:eastAsia="Cambria" w:hAnsi="Cambria" w:cs="Cambria"/>
        </w:rPr>
      </w:pPr>
      <w:r>
        <w:rPr>
          <w:rFonts w:ascii="Cambria" w:eastAsia="Cambria" w:hAnsi="Cambria" w:cs="Cambria"/>
          <w:b/>
        </w:rPr>
        <w:t>Table 4</w:t>
      </w:r>
      <w:r>
        <w:rPr>
          <w:rFonts w:ascii="Cambria" w:eastAsia="Cambria" w:hAnsi="Cambria" w:cs="Cambria"/>
        </w:rPr>
        <w:t>, 40(26.7%) of the respondents’ parents earned N10,000, while 50 (33.3%) earned N20,000 and 60 (40%) earned N50,000 and above.  It is hereby implied that the higher your income the more likely you will be able to finance very well the education of your children.</w:t>
      </w:r>
    </w:p>
    <w:p w14:paraId="3DB28BD1" w14:textId="77777777" w:rsidR="00166399" w:rsidRDefault="003B0A72">
      <w:pPr>
        <w:spacing w:line="240" w:lineRule="auto"/>
        <w:jc w:val="center"/>
        <w:rPr>
          <w:rFonts w:ascii="Cambria" w:eastAsia="Cambria" w:hAnsi="Cambria" w:cs="Cambria"/>
        </w:rPr>
      </w:pPr>
      <w:r>
        <w:rPr>
          <w:rFonts w:ascii="Cambria" w:eastAsia="Cambria" w:hAnsi="Cambria" w:cs="Cambria"/>
          <w:b/>
        </w:rPr>
        <w:t xml:space="preserve">Table 4. </w:t>
      </w:r>
      <w:r>
        <w:rPr>
          <w:rFonts w:ascii="Cambria" w:eastAsia="Cambria" w:hAnsi="Cambria" w:cs="Cambria"/>
        </w:rPr>
        <w:t>Your school fees and other dues are paid regularly and as when due.</w:t>
      </w:r>
    </w:p>
    <w:tbl>
      <w:tblPr>
        <w:tblStyle w:val="a8"/>
        <w:tblW w:w="8918" w:type="dxa"/>
        <w:tblInd w:w="108" w:type="dxa"/>
        <w:tblBorders>
          <w:top w:val="single" w:sz="4" w:space="0" w:color="000000"/>
          <w:bottom w:val="single" w:sz="4" w:space="0" w:color="000000"/>
        </w:tblBorders>
        <w:tblLayout w:type="fixed"/>
        <w:tblLook w:val="0000" w:firstRow="0" w:lastRow="0" w:firstColumn="0" w:lastColumn="0" w:noHBand="0" w:noVBand="0"/>
      </w:tblPr>
      <w:tblGrid>
        <w:gridCol w:w="3714"/>
        <w:gridCol w:w="1982"/>
        <w:gridCol w:w="3222"/>
      </w:tblGrid>
      <w:tr w:rsidR="00166399" w14:paraId="226D6079" w14:textId="77777777">
        <w:trPr>
          <w:trHeight w:val="20"/>
        </w:trPr>
        <w:tc>
          <w:tcPr>
            <w:tcW w:w="3714" w:type="dxa"/>
            <w:tcBorders>
              <w:top w:val="single" w:sz="4" w:space="0" w:color="000000"/>
              <w:bottom w:val="single" w:sz="4" w:space="0" w:color="000000"/>
            </w:tcBorders>
          </w:tcPr>
          <w:p w14:paraId="05AAA47A"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Parents income</w:t>
            </w:r>
          </w:p>
        </w:tc>
        <w:tc>
          <w:tcPr>
            <w:tcW w:w="1982" w:type="dxa"/>
            <w:tcBorders>
              <w:top w:val="single" w:sz="4" w:space="0" w:color="000000"/>
              <w:bottom w:val="single" w:sz="4" w:space="0" w:color="000000"/>
            </w:tcBorders>
          </w:tcPr>
          <w:p w14:paraId="7E747DBC"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No</w:t>
            </w:r>
          </w:p>
        </w:tc>
        <w:tc>
          <w:tcPr>
            <w:tcW w:w="3222" w:type="dxa"/>
            <w:tcBorders>
              <w:top w:val="single" w:sz="4" w:space="0" w:color="000000"/>
              <w:bottom w:val="single" w:sz="4" w:space="0" w:color="000000"/>
            </w:tcBorders>
          </w:tcPr>
          <w:p w14:paraId="560895F3"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Percentage (%)</w:t>
            </w:r>
          </w:p>
        </w:tc>
      </w:tr>
      <w:tr w:rsidR="00166399" w14:paraId="271EC577" w14:textId="77777777">
        <w:trPr>
          <w:trHeight w:val="20"/>
        </w:trPr>
        <w:tc>
          <w:tcPr>
            <w:tcW w:w="3714" w:type="dxa"/>
            <w:tcBorders>
              <w:top w:val="single" w:sz="4" w:space="0" w:color="000000"/>
            </w:tcBorders>
          </w:tcPr>
          <w:p w14:paraId="591AC996"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trike/>
                <w:sz w:val="21"/>
                <w:szCs w:val="21"/>
              </w:rPr>
              <w:t>N</w:t>
            </w:r>
            <w:r>
              <w:rPr>
                <w:rFonts w:ascii="Cambria" w:eastAsia="Cambria" w:hAnsi="Cambria" w:cs="Cambria"/>
                <w:sz w:val="21"/>
                <w:szCs w:val="21"/>
              </w:rPr>
              <w:t>10,000.00</w:t>
            </w:r>
          </w:p>
        </w:tc>
        <w:tc>
          <w:tcPr>
            <w:tcW w:w="1982" w:type="dxa"/>
            <w:tcBorders>
              <w:top w:val="single" w:sz="4" w:space="0" w:color="000000"/>
            </w:tcBorders>
          </w:tcPr>
          <w:p w14:paraId="73B47234"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40</w:t>
            </w:r>
          </w:p>
        </w:tc>
        <w:tc>
          <w:tcPr>
            <w:tcW w:w="3222" w:type="dxa"/>
            <w:tcBorders>
              <w:top w:val="single" w:sz="4" w:space="0" w:color="000000"/>
            </w:tcBorders>
          </w:tcPr>
          <w:p w14:paraId="6C8E389D"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26.7</w:t>
            </w:r>
          </w:p>
        </w:tc>
      </w:tr>
      <w:tr w:rsidR="00166399" w14:paraId="55A503C4" w14:textId="77777777">
        <w:trPr>
          <w:trHeight w:val="20"/>
        </w:trPr>
        <w:tc>
          <w:tcPr>
            <w:tcW w:w="3714" w:type="dxa"/>
          </w:tcPr>
          <w:p w14:paraId="628A2565"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trike/>
                <w:sz w:val="21"/>
                <w:szCs w:val="21"/>
              </w:rPr>
              <w:t>N</w:t>
            </w:r>
            <w:r>
              <w:rPr>
                <w:rFonts w:ascii="Cambria" w:eastAsia="Cambria" w:hAnsi="Cambria" w:cs="Cambria"/>
                <w:sz w:val="21"/>
                <w:szCs w:val="21"/>
              </w:rPr>
              <w:t>20,000.00</w:t>
            </w:r>
          </w:p>
        </w:tc>
        <w:tc>
          <w:tcPr>
            <w:tcW w:w="1982" w:type="dxa"/>
          </w:tcPr>
          <w:p w14:paraId="68C97240"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50</w:t>
            </w:r>
          </w:p>
        </w:tc>
        <w:tc>
          <w:tcPr>
            <w:tcW w:w="3222" w:type="dxa"/>
          </w:tcPr>
          <w:p w14:paraId="1330E3EF"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33.3</w:t>
            </w:r>
          </w:p>
        </w:tc>
      </w:tr>
      <w:tr w:rsidR="00166399" w14:paraId="22408442" w14:textId="77777777">
        <w:trPr>
          <w:trHeight w:val="20"/>
        </w:trPr>
        <w:tc>
          <w:tcPr>
            <w:tcW w:w="3714" w:type="dxa"/>
          </w:tcPr>
          <w:p w14:paraId="368E5C08"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trike/>
                <w:sz w:val="21"/>
                <w:szCs w:val="21"/>
              </w:rPr>
              <w:t>N</w:t>
            </w:r>
            <w:r>
              <w:rPr>
                <w:rFonts w:ascii="Cambria" w:eastAsia="Cambria" w:hAnsi="Cambria" w:cs="Cambria"/>
                <w:sz w:val="21"/>
                <w:szCs w:val="21"/>
              </w:rPr>
              <w:t>50,000.00 and above</w:t>
            </w:r>
          </w:p>
        </w:tc>
        <w:tc>
          <w:tcPr>
            <w:tcW w:w="1982" w:type="dxa"/>
          </w:tcPr>
          <w:p w14:paraId="0E6D72FB"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60</w:t>
            </w:r>
          </w:p>
        </w:tc>
        <w:tc>
          <w:tcPr>
            <w:tcW w:w="3222" w:type="dxa"/>
          </w:tcPr>
          <w:p w14:paraId="17E0B305"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40.0</w:t>
            </w:r>
          </w:p>
        </w:tc>
      </w:tr>
      <w:tr w:rsidR="00166399" w14:paraId="709C3701" w14:textId="77777777">
        <w:trPr>
          <w:trHeight w:val="20"/>
        </w:trPr>
        <w:tc>
          <w:tcPr>
            <w:tcW w:w="3714" w:type="dxa"/>
          </w:tcPr>
          <w:p w14:paraId="201EAFB8"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Total</w:t>
            </w:r>
          </w:p>
        </w:tc>
        <w:tc>
          <w:tcPr>
            <w:tcW w:w="1982" w:type="dxa"/>
          </w:tcPr>
          <w:p w14:paraId="5447F438"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150</w:t>
            </w:r>
          </w:p>
        </w:tc>
        <w:tc>
          <w:tcPr>
            <w:tcW w:w="3222" w:type="dxa"/>
          </w:tcPr>
          <w:p w14:paraId="6770E208"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100.0</w:t>
            </w:r>
          </w:p>
        </w:tc>
      </w:tr>
    </w:tbl>
    <w:p w14:paraId="33F702FF" w14:textId="77777777" w:rsidR="00166399" w:rsidRDefault="00166399">
      <w:pPr>
        <w:spacing w:after="0" w:line="240" w:lineRule="auto"/>
        <w:jc w:val="center"/>
        <w:rPr>
          <w:rFonts w:ascii="Cambria" w:eastAsia="Cambria" w:hAnsi="Cambria" w:cs="Cambria"/>
        </w:rPr>
      </w:pPr>
    </w:p>
    <w:p w14:paraId="263ABE30" w14:textId="77777777" w:rsidR="00166399" w:rsidRDefault="003B0A72">
      <w:pPr>
        <w:spacing w:line="240" w:lineRule="auto"/>
        <w:ind w:firstLine="272"/>
        <w:jc w:val="both"/>
        <w:rPr>
          <w:rFonts w:ascii="Cambria" w:eastAsia="Cambria" w:hAnsi="Cambria" w:cs="Cambria"/>
        </w:rPr>
      </w:pPr>
      <w:r>
        <w:rPr>
          <w:rFonts w:ascii="Cambria" w:eastAsia="Cambria" w:hAnsi="Cambria" w:cs="Cambria"/>
        </w:rPr>
        <w:t xml:space="preserve">The hypothesis states that there will be no significant difference in the academic performance of pupils due to the home environment. Some questions were used to test the above hypothesis as shown in </w:t>
      </w:r>
      <w:r>
        <w:rPr>
          <w:rFonts w:ascii="Cambria" w:eastAsia="Cambria" w:hAnsi="Cambria" w:cs="Cambria"/>
          <w:b/>
        </w:rPr>
        <w:t>Table 5</w:t>
      </w:r>
      <w:r>
        <w:rPr>
          <w:rFonts w:ascii="Cambria" w:eastAsia="Cambria" w:hAnsi="Cambria" w:cs="Cambria"/>
        </w:rPr>
        <w:t xml:space="preserve">. </w:t>
      </w:r>
      <w:r>
        <w:rPr>
          <w:rFonts w:ascii="Cambria" w:eastAsia="Cambria" w:hAnsi="Cambria" w:cs="Cambria"/>
          <w:b/>
        </w:rPr>
        <w:t>Table 5</w:t>
      </w:r>
      <w:r>
        <w:rPr>
          <w:rFonts w:ascii="Cambria" w:eastAsia="Cambria" w:hAnsi="Cambria" w:cs="Cambria"/>
        </w:rPr>
        <w:t xml:space="preserve"> shows that 130(86.7%) of the respondents had their school fees and other dues paid regularly.  20(13.3%) had their due not paid regularly.  This may be due to a lack of funds by the parents.  However, it was observed that this had a bad effect on the academic performance of the children.</w:t>
      </w:r>
    </w:p>
    <w:p w14:paraId="369F1134" w14:textId="77777777" w:rsidR="00166399" w:rsidRDefault="003B0A72">
      <w:pPr>
        <w:spacing w:line="240" w:lineRule="auto"/>
        <w:jc w:val="center"/>
        <w:rPr>
          <w:rFonts w:ascii="Cambria" w:eastAsia="Cambria" w:hAnsi="Cambria" w:cs="Cambria"/>
        </w:rPr>
      </w:pPr>
      <w:r>
        <w:rPr>
          <w:rFonts w:ascii="Cambria" w:eastAsia="Cambria" w:hAnsi="Cambria" w:cs="Cambria"/>
          <w:b/>
        </w:rPr>
        <w:t xml:space="preserve">Table 5. </w:t>
      </w:r>
      <w:r>
        <w:rPr>
          <w:rFonts w:ascii="Cambria" w:eastAsia="Cambria" w:hAnsi="Cambria" w:cs="Cambria"/>
        </w:rPr>
        <w:t>Your school fees and other dues are paid regularly and as when due.</w:t>
      </w:r>
    </w:p>
    <w:tbl>
      <w:tblPr>
        <w:tblStyle w:val="a9"/>
        <w:tblW w:w="8828" w:type="dxa"/>
        <w:tblInd w:w="198" w:type="dxa"/>
        <w:tblBorders>
          <w:top w:val="single" w:sz="4" w:space="0" w:color="000000"/>
          <w:bottom w:val="single" w:sz="4" w:space="0" w:color="000000"/>
        </w:tblBorders>
        <w:tblLayout w:type="fixed"/>
        <w:tblLook w:val="0000" w:firstRow="0" w:lastRow="0" w:firstColumn="0" w:lastColumn="0" w:noHBand="0" w:noVBand="0"/>
      </w:tblPr>
      <w:tblGrid>
        <w:gridCol w:w="3375"/>
        <w:gridCol w:w="2064"/>
        <w:gridCol w:w="3389"/>
      </w:tblGrid>
      <w:tr w:rsidR="00166399" w14:paraId="25E4234C" w14:textId="77777777">
        <w:trPr>
          <w:trHeight w:val="20"/>
        </w:trPr>
        <w:tc>
          <w:tcPr>
            <w:tcW w:w="3375" w:type="dxa"/>
            <w:tcBorders>
              <w:top w:val="single" w:sz="4" w:space="0" w:color="000000"/>
              <w:bottom w:val="single" w:sz="4" w:space="0" w:color="000000"/>
            </w:tcBorders>
          </w:tcPr>
          <w:p w14:paraId="0F63C299"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Responses</w:t>
            </w:r>
          </w:p>
        </w:tc>
        <w:tc>
          <w:tcPr>
            <w:tcW w:w="2064" w:type="dxa"/>
            <w:tcBorders>
              <w:top w:val="single" w:sz="4" w:space="0" w:color="000000"/>
              <w:bottom w:val="single" w:sz="4" w:space="0" w:color="000000"/>
            </w:tcBorders>
          </w:tcPr>
          <w:p w14:paraId="012D1EBC"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No.</w:t>
            </w:r>
          </w:p>
        </w:tc>
        <w:tc>
          <w:tcPr>
            <w:tcW w:w="3389" w:type="dxa"/>
            <w:tcBorders>
              <w:top w:val="single" w:sz="4" w:space="0" w:color="000000"/>
              <w:bottom w:val="single" w:sz="4" w:space="0" w:color="000000"/>
            </w:tcBorders>
          </w:tcPr>
          <w:p w14:paraId="3B00B9C9" w14:textId="77777777" w:rsidR="00166399" w:rsidRDefault="003B0A72">
            <w:pPr>
              <w:spacing w:after="0" w:line="240" w:lineRule="auto"/>
              <w:jc w:val="center"/>
              <w:rPr>
                <w:rFonts w:ascii="Cambria" w:eastAsia="Cambria" w:hAnsi="Cambria" w:cs="Cambria"/>
                <w:b/>
                <w:sz w:val="22"/>
                <w:szCs w:val="22"/>
              </w:rPr>
            </w:pPr>
            <w:r>
              <w:rPr>
                <w:rFonts w:ascii="Cambria" w:eastAsia="Cambria" w:hAnsi="Cambria" w:cs="Cambria"/>
                <w:b/>
                <w:sz w:val="22"/>
                <w:szCs w:val="22"/>
              </w:rPr>
              <w:t>Percentage (%)</w:t>
            </w:r>
          </w:p>
        </w:tc>
      </w:tr>
      <w:tr w:rsidR="00166399" w14:paraId="7996934D" w14:textId="77777777">
        <w:trPr>
          <w:trHeight w:val="20"/>
        </w:trPr>
        <w:tc>
          <w:tcPr>
            <w:tcW w:w="3375" w:type="dxa"/>
            <w:tcBorders>
              <w:top w:val="single" w:sz="4" w:space="0" w:color="000000"/>
            </w:tcBorders>
          </w:tcPr>
          <w:p w14:paraId="3C2AE04B"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Yes</w:t>
            </w:r>
          </w:p>
        </w:tc>
        <w:tc>
          <w:tcPr>
            <w:tcW w:w="2064" w:type="dxa"/>
            <w:tcBorders>
              <w:top w:val="single" w:sz="4" w:space="0" w:color="000000"/>
            </w:tcBorders>
          </w:tcPr>
          <w:p w14:paraId="53EB743D"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130</w:t>
            </w:r>
          </w:p>
        </w:tc>
        <w:tc>
          <w:tcPr>
            <w:tcW w:w="3389" w:type="dxa"/>
            <w:tcBorders>
              <w:top w:val="single" w:sz="4" w:space="0" w:color="000000"/>
            </w:tcBorders>
          </w:tcPr>
          <w:p w14:paraId="0AD71D95"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86.7</w:t>
            </w:r>
          </w:p>
        </w:tc>
      </w:tr>
      <w:tr w:rsidR="00166399" w14:paraId="2C79D74F" w14:textId="77777777">
        <w:trPr>
          <w:trHeight w:val="20"/>
        </w:trPr>
        <w:tc>
          <w:tcPr>
            <w:tcW w:w="3375" w:type="dxa"/>
          </w:tcPr>
          <w:p w14:paraId="209DD754"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No</w:t>
            </w:r>
          </w:p>
        </w:tc>
        <w:tc>
          <w:tcPr>
            <w:tcW w:w="2064" w:type="dxa"/>
          </w:tcPr>
          <w:p w14:paraId="625A69C9"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20</w:t>
            </w:r>
          </w:p>
        </w:tc>
        <w:tc>
          <w:tcPr>
            <w:tcW w:w="3389" w:type="dxa"/>
          </w:tcPr>
          <w:p w14:paraId="41992DAB" w14:textId="77777777" w:rsidR="00166399" w:rsidRDefault="003B0A72">
            <w:pPr>
              <w:spacing w:after="0" w:line="240" w:lineRule="auto"/>
              <w:jc w:val="center"/>
              <w:rPr>
                <w:rFonts w:ascii="Cambria" w:eastAsia="Cambria" w:hAnsi="Cambria" w:cs="Cambria"/>
                <w:sz w:val="21"/>
                <w:szCs w:val="21"/>
              </w:rPr>
            </w:pPr>
            <w:r>
              <w:rPr>
                <w:rFonts w:ascii="Cambria" w:eastAsia="Cambria" w:hAnsi="Cambria" w:cs="Cambria"/>
                <w:sz w:val="21"/>
                <w:szCs w:val="21"/>
              </w:rPr>
              <w:t>13.3</w:t>
            </w:r>
          </w:p>
        </w:tc>
      </w:tr>
      <w:tr w:rsidR="00166399" w14:paraId="5DDB4EEF" w14:textId="77777777">
        <w:trPr>
          <w:trHeight w:val="20"/>
        </w:trPr>
        <w:tc>
          <w:tcPr>
            <w:tcW w:w="3375" w:type="dxa"/>
          </w:tcPr>
          <w:p w14:paraId="5945B189"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Total</w:t>
            </w:r>
          </w:p>
        </w:tc>
        <w:tc>
          <w:tcPr>
            <w:tcW w:w="2064" w:type="dxa"/>
          </w:tcPr>
          <w:p w14:paraId="61B8CBAE"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150</w:t>
            </w:r>
          </w:p>
        </w:tc>
        <w:tc>
          <w:tcPr>
            <w:tcW w:w="3389" w:type="dxa"/>
          </w:tcPr>
          <w:p w14:paraId="096AB62B" w14:textId="77777777" w:rsidR="00166399" w:rsidRDefault="003B0A72">
            <w:pPr>
              <w:spacing w:after="0" w:line="240" w:lineRule="auto"/>
              <w:jc w:val="center"/>
              <w:rPr>
                <w:rFonts w:ascii="Cambria" w:eastAsia="Cambria" w:hAnsi="Cambria" w:cs="Cambria"/>
                <w:b/>
                <w:sz w:val="21"/>
                <w:szCs w:val="21"/>
              </w:rPr>
            </w:pPr>
            <w:r>
              <w:rPr>
                <w:rFonts w:ascii="Cambria" w:eastAsia="Cambria" w:hAnsi="Cambria" w:cs="Cambria"/>
                <w:b/>
                <w:sz w:val="21"/>
                <w:szCs w:val="21"/>
              </w:rPr>
              <w:t>100.0</w:t>
            </w:r>
          </w:p>
        </w:tc>
      </w:tr>
    </w:tbl>
    <w:p w14:paraId="41701352" w14:textId="77777777" w:rsidR="00166399" w:rsidRDefault="00166399">
      <w:pPr>
        <w:spacing w:after="0" w:line="240" w:lineRule="auto"/>
        <w:jc w:val="both"/>
        <w:rPr>
          <w:rFonts w:ascii="Cambria" w:eastAsia="Cambria" w:hAnsi="Cambria" w:cs="Cambria"/>
          <w:b/>
        </w:rPr>
      </w:pPr>
    </w:p>
    <w:p w14:paraId="03A20B3B" w14:textId="77777777" w:rsidR="00166399" w:rsidRDefault="003B0A72">
      <w:pPr>
        <w:spacing w:after="0" w:line="240" w:lineRule="auto"/>
        <w:ind w:firstLine="272"/>
        <w:jc w:val="both"/>
        <w:rPr>
          <w:rFonts w:ascii="Cambria" w:eastAsia="Cambria" w:hAnsi="Cambria" w:cs="Cambria"/>
        </w:rPr>
      </w:pPr>
      <w:r>
        <w:rPr>
          <w:rFonts w:ascii="Cambria" w:eastAsia="Cambria" w:hAnsi="Cambria" w:cs="Cambria"/>
        </w:rPr>
        <w:t>The purpose of this study is to find out the influence of the home environment on the Academic Performance of pupils in Isolo L.G.A of Lagos State. In order, to achieve this aim, the opinions of various authors were sought.  Also, some periodicals were used and some of the areas included parental socio-economic status, parental academic backgrounds, and home environment.</w:t>
      </w:r>
    </w:p>
    <w:p w14:paraId="7A95931F" w14:textId="77777777" w:rsidR="00166399" w:rsidRDefault="003B0A72">
      <w:pPr>
        <w:spacing w:line="240" w:lineRule="auto"/>
        <w:ind w:firstLine="272"/>
        <w:jc w:val="both"/>
        <w:rPr>
          <w:rFonts w:ascii="Cambria" w:eastAsia="Cambria" w:hAnsi="Cambria" w:cs="Cambria"/>
        </w:rPr>
      </w:pPr>
      <w:r>
        <w:rPr>
          <w:rFonts w:ascii="Cambria" w:eastAsia="Cambria" w:hAnsi="Cambria" w:cs="Cambria"/>
        </w:rPr>
        <w:t>In addition, a random sampling was used to select one hundred and fifty pupils from the primary schools in Isolo Local Government Area. The questionnaire was the main instrument of research in the study. For the data analysis, a simple percentage was used for describing the results and testing the hypotheses.</w:t>
      </w:r>
    </w:p>
    <w:p w14:paraId="573A1169" w14:textId="77777777" w:rsidR="00166399" w:rsidRDefault="00166399">
      <w:pPr>
        <w:spacing w:after="0" w:line="240" w:lineRule="auto"/>
        <w:ind w:firstLine="272"/>
        <w:jc w:val="both"/>
        <w:rPr>
          <w:rFonts w:ascii="Cambria" w:eastAsia="Cambria" w:hAnsi="Cambria" w:cs="Cambria"/>
        </w:rPr>
      </w:pPr>
    </w:p>
    <w:p w14:paraId="69BABA71" w14:textId="77777777" w:rsidR="00166399" w:rsidRDefault="003B0A72">
      <w:pPr>
        <w:spacing w:after="0" w:line="240" w:lineRule="auto"/>
        <w:jc w:val="both"/>
        <w:rPr>
          <w:rFonts w:ascii="Cambria" w:eastAsia="Cambria" w:hAnsi="Cambria" w:cs="Cambria"/>
          <w:b/>
        </w:rPr>
      </w:pPr>
      <w:r>
        <w:rPr>
          <w:rFonts w:ascii="Cambria" w:eastAsia="Cambria" w:hAnsi="Cambria" w:cs="Cambria"/>
          <w:b/>
        </w:rPr>
        <w:t>4. CONCLUSION</w:t>
      </w:r>
    </w:p>
    <w:p w14:paraId="3B8F5DF6" w14:textId="77777777" w:rsidR="00166399" w:rsidRDefault="00166399">
      <w:pPr>
        <w:spacing w:after="0" w:line="240" w:lineRule="auto"/>
        <w:jc w:val="both"/>
        <w:rPr>
          <w:rFonts w:ascii="Cambria" w:eastAsia="Cambria" w:hAnsi="Cambria" w:cs="Cambria"/>
          <w:b/>
        </w:rPr>
      </w:pPr>
    </w:p>
    <w:p w14:paraId="06148934" w14:textId="77777777" w:rsidR="00166399" w:rsidRDefault="003B0A72">
      <w:pPr>
        <w:pBdr>
          <w:top w:val="nil"/>
          <w:left w:val="nil"/>
          <w:bottom w:val="nil"/>
          <w:right w:val="nil"/>
          <w:between w:val="nil"/>
        </w:pBdr>
        <w:spacing w:after="0" w:line="240" w:lineRule="auto"/>
        <w:ind w:firstLine="274"/>
        <w:jc w:val="both"/>
        <w:rPr>
          <w:rFonts w:ascii="Cambria" w:eastAsia="Cambria" w:hAnsi="Cambria" w:cs="Cambria"/>
          <w:color w:val="000000"/>
        </w:rPr>
      </w:pPr>
      <w:r>
        <w:rPr>
          <w:rFonts w:ascii="Cambria" w:eastAsia="Cambria" w:hAnsi="Cambria" w:cs="Cambria"/>
          <w:color w:val="000000"/>
        </w:rPr>
        <w:t xml:space="preserve">In light of the above findings, it is conclusive that home environment as regards (a) socioeconomic status (2) parental level of education (3) stability at home all have bearing on the performance of the children academically, most especially at the primary school level. Considering its importance in the future of the pupils, there should be a conscious effort put forward by parents in providing a favorable home environment for their wards, thereby laying solid foundation for pupils at home. With the changes in economic </w:t>
      </w:r>
      <w:r>
        <w:rPr>
          <w:rFonts w:ascii="Cambria" w:eastAsia="Cambria" w:hAnsi="Cambria" w:cs="Cambria"/>
          <w:color w:val="000000"/>
        </w:rPr>
        <w:lastRenderedPageBreak/>
        <w:t>structure whereby the socio-economic level of the parents is being frequently adversely affected, it is recommended that:</w:t>
      </w:r>
    </w:p>
    <w:p w14:paraId="5CE03368" w14:textId="77777777" w:rsidR="00166399" w:rsidRDefault="003B0A72">
      <w:pPr>
        <w:numPr>
          <w:ilvl w:val="0"/>
          <w:numId w:val="3"/>
        </w:numPr>
        <w:pBdr>
          <w:top w:val="nil"/>
          <w:left w:val="nil"/>
          <w:bottom w:val="nil"/>
          <w:right w:val="nil"/>
          <w:between w:val="nil"/>
        </w:pBdr>
        <w:spacing w:after="0" w:line="240" w:lineRule="auto"/>
        <w:ind w:left="426"/>
        <w:jc w:val="both"/>
        <w:rPr>
          <w:rFonts w:ascii="Cambria" w:eastAsia="Cambria" w:hAnsi="Cambria" w:cs="Cambria"/>
          <w:color w:val="000000"/>
        </w:rPr>
      </w:pPr>
      <w:r>
        <w:rPr>
          <w:rFonts w:ascii="Cambria" w:eastAsia="Cambria" w:hAnsi="Cambria" w:cs="Cambria"/>
          <w:color w:val="000000"/>
        </w:rPr>
        <w:t>Government should make its free education policy meaningful by providing adequate funds to create a satisfactory environment for good quality primary school education.</w:t>
      </w:r>
    </w:p>
    <w:p w14:paraId="2020FA5E" w14:textId="77777777" w:rsidR="00166399" w:rsidRDefault="003B0A72">
      <w:pPr>
        <w:numPr>
          <w:ilvl w:val="0"/>
          <w:numId w:val="3"/>
        </w:numPr>
        <w:pBdr>
          <w:top w:val="nil"/>
          <w:left w:val="nil"/>
          <w:bottom w:val="nil"/>
          <w:right w:val="nil"/>
          <w:between w:val="nil"/>
        </w:pBdr>
        <w:spacing w:line="240" w:lineRule="auto"/>
        <w:ind w:left="426" w:hanging="357"/>
        <w:jc w:val="both"/>
        <w:rPr>
          <w:rFonts w:ascii="Cambria" w:eastAsia="Cambria" w:hAnsi="Cambria" w:cs="Cambria"/>
          <w:color w:val="000000"/>
        </w:rPr>
      </w:pPr>
      <w:r>
        <w:rPr>
          <w:rFonts w:ascii="Cambria" w:eastAsia="Cambria" w:hAnsi="Cambria" w:cs="Cambria"/>
          <w:color w:val="000000"/>
        </w:rPr>
        <w:t>Government at the three-tier levels should embark on policies aimed at improving the standard of living of the citizens.</w:t>
      </w:r>
    </w:p>
    <w:p w14:paraId="2C31BCF8" w14:textId="77777777" w:rsidR="00166399" w:rsidRDefault="00166399">
      <w:pPr>
        <w:pBdr>
          <w:top w:val="nil"/>
          <w:left w:val="nil"/>
          <w:bottom w:val="nil"/>
          <w:right w:val="nil"/>
          <w:between w:val="nil"/>
        </w:pBdr>
        <w:spacing w:after="0" w:line="240" w:lineRule="auto"/>
        <w:jc w:val="both"/>
        <w:rPr>
          <w:rFonts w:ascii="Cambria" w:eastAsia="Cambria" w:hAnsi="Cambria" w:cs="Cambria"/>
          <w:b/>
          <w:color w:val="000000"/>
        </w:rPr>
      </w:pPr>
    </w:p>
    <w:p w14:paraId="0B2B4140" w14:textId="77777777" w:rsidR="00166399" w:rsidRDefault="003B0A72">
      <w:pPr>
        <w:pBdr>
          <w:top w:val="nil"/>
          <w:left w:val="nil"/>
          <w:bottom w:val="nil"/>
          <w:right w:val="nil"/>
          <w:between w:val="nil"/>
        </w:pBdr>
        <w:spacing w:after="0" w:line="240" w:lineRule="auto"/>
        <w:jc w:val="both"/>
        <w:rPr>
          <w:rFonts w:ascii="Cambria" w:eastAsia="Cambria" w:hAnsi="Cambria" w:cs="Cambria"/>
          <w:b/>
          <w:color w:val="000000"/>
        </w:rPr>
      </w:pPr>
      <w:r>
        <w:rPr>
          <w:rFonts w:ascii="Cambria" w:eastAsia="Cambria" w:hAnsi="Cambria" w:cs="Cambria"/>
          <w:b/>
          <w:color w:val="000000"/>
        </w:rPr>
        <w:t>5. AUTHORS’ NOTE</w:t>
      </w:r>
    </w:p>
    <w:p w14:paraId="1572EED9" w14:textId="77777777" w:rsidR="00166399" w:rsidRDefault="00166399">
      <w:pPr>
        <w:pBdr>
          <w:top w:val="nil"/>
          <w:left w:val="nil"/>
          <w:bottom w:val="nil"/>
          <w:right w:val="nil"/>
          <w:between w:val="nil"/>
        </w:pBdr>
        <w:spacing w:after="0" w:line="240" w:lineRule="auto"/>
        <w:jc w:val="both"/>
        <w:rPr>
          <w:rFonts w:ascii="Cambria" w:eastAsia="Cambria" w:hAnsi="Cambria" w:cs="Cambria"/>
          <w:b/>
          <w:color w:val="000000"/>
        </w:rPr>
      </w:pPr>
    </w:p>
    <w:p w14:paraId="7541AFF4" w14:textId="77777777" w:rsidR="00166399" w:rsidRDefault="003B0A72">
      <w:pPr>
        <w:pBdr>
          <w:top w:val="nil"/>
          <w:left w:val="nil"/>
          <w:bottom w:val="nil"/>
          <w:right w:val="nil"/>
          <w:between w:val="nil"/>
        </w:pBdr>
        <w:spacing w:after="0" w:line="240" w:lineRule="auto"/>
        <w:ind w:firstLine="284"/>
        <w:jc w:val="both"/>
        <w:rPr>
          <w:rFonts w:ascii="Cambria" w:eastAsia="Cambria" w:hAnsi="Cambria" w:cs="Cambria"/>
          <w:color w:val="000000"/>
        </w:rPr>
      </w:pPr>
      <w:r>
        <w:rPr>
          <w:rFonts w:ascii="Cambria" w:eastAsia="Cambria" w:hAnsi="Cambria" w:cs="Cambria"/>
          <w:color w:val="000000"/>
        </w:rPr>
        <w:t>The authors declare that there is no conflict of interest regarding the publication of this article. Authors confirmed that the paper was free of plagiarism.</w:t>
      </w:r>
    </w:p>
    <w:p w14:paraId="74081B86" w14:textId="77777777" w:rsidR="00166399" w:rsidRDefault="00166399">
      <w:pPr>
        <w:pBdr>
          <w:top w:val="nil"/>
          <w:left w:val="nil"/>
          <w:bottom w:val="nil"/>
          <w:right w:val="nil"/>
          <w:between w:val="nil"/>
        </w:pBdr>
        <w:spacing w:after="0" w:line="240" w:lineRule="auto"/>
        <w:jc w:val="both"/>
        <w:rPr>
          <w:rFonts w:ascii="Cambria" w:eastAsia="Cambria" w:hAnsi="Cambria" w:cs="Cambria"/>
          <w:color w:val="000000"/>
        </w:rPr>
      </w:pPr>
    </w:p>
    <w:p w14:paraId="7614D57E" w14:textId="77777777" w:rsidR="00166399" w:rsidRDefault="003B0A72">
      <w:pPr>
        <w:pBdr>
          <w:top w:val="nil"/>
          <w:left w:val="nil"/>
          <w:bottom w:val="nil"/>
          <w:right w:val="nil"/>
          <w:between w:val="nil"/>
        </w:pBdr>
        <w:spacing w:after="0" w:line="240" w:lineRule="auto"/>
        <w:jc w:val="both"/>
        <w:rPr>
          <w:rFonts w:ascii="Cambria" w:eastAsia="Cambria" w:hAnsi="Cambria" w:cs="Cambria"/>
          <w:b/>
          <w:color w:val="000000"/>
        </w:rPr>
      </w:pPr>
      <w:r>
        <w:rPr>
          <w:rFonts w:ascii="Cambria" w:eastAsia="Cambria" w:hAnsi="Cambria" w:cs="Cambria"/>
          <w:b/>
          <w:color w:val="000000"/>
        </w:rPr>
        <w:t>6. REFERENCES</w:t>
      </w:r>
    </w:p>
    <w:p w14:paraId="184F3FAF" w14:textId="77777777" w:rsidR="00166399" w:rsidRDefault="00166399">
      <w:pPr>
        <w:pBdr>
          <w:top w:val="nil"/>
          <w:left w:val="nil"/>
          <w:bottom w:val="nil"/>
          <w:right w:val="nil"/>
          <w:between w:val="nil"/>
        </w:pBdr>
        <w:spacing w:after="0" w:line="240" w:lineRule="auto"/>
        <w:jc w:val="both"/>
        <w:rPr>
          <w:rFonts w:ascii="Cambria" w:eastAsia="Cambria" w:hAnsi="Cambria" w:cs="Cambria"/>
          <w:b/>
          <w:color w:val="000000"/>
        </w:rPr>
      </w:pPr>
    </w:p>
    <w:p w14:paraId="334AC842"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Abulude, F.O., Acha, S., Gbotoso, O.A., Arifalo, K.M., Ademilua, S.O., Bello, L.J., Olayinka, Y.F., and Aladesaye, C. (2022). Environmental education: A tertiary institution’s indoor air quality assessment in Nigeria. </w:t>
      </w:r>
      <w:r>
        <w:rPr>
          <w:rFonts w:ascii="Cambria" w:eastAsia="Cambria" w:hAnsi="Cambria" w:cs="Cambria"/>
          <w:i/>
        </w:rPr>
        <w:t>ASEAN Journal of Science Education</w:t>
      </w:r>
      <w:r>
        <w:rPr>
          <w:rFonts w:ascii="Cambria" w:eastAsia="Cambria" w:hAnsi="Cambria" w:cs="Cambria"/>
        </w:rPr>
        <w:t xml:space="preserve">, </w:t>
      </w:r>
      <w:r>
        <w:rPr>
          <w:rFonts w:ascii="Cambria" w:eastAsia="Cambria" w:hAnsi="Cambria" w:cs="Cambria"/>
          <w:i/>
        </w:rPr>
        <w:t>1</w:t>
      </w:r>
      <w:r>
        <w:rPr>
          <w:rFonts w:ascii="Cambria" w:eastAsia="Cambria" w:hAnsi="Cambria" w:cs="Cambria"/>
        </w:rPr>
        <w:t>(2), 41-48.</w:t>
      </w:r>
    </w:p>
    <w:p w14:paraId="56F161D8"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Adeleye, A. O., Adenuga, E. A., Idowu, O. J., and Soyombo, K. A. (2022). Socio-demographic status as a predictor of academic performance among human kinetics and health education students. </w:t>
      </w:r>
      <w:r>
        <w:rPr>
          <w:rFonts w:ascii="Cambria" w:eastAsia="Cambria" w:hAnsi="Cambria" w:cs="Cambria"/>
          <w:i/>
        </w:rPr>
        <w:t>Journal of Social Behavior and Community Health</w:t>
      </w:r>
      <w:r>
        <w:rPr>
          <w:rFonts w:ascii="Cambria" w:eastAsia="Cambria" w:hAnsi="Cambria" w:cs="Cambria"/>
        </w:rPr>
        <w:t xml:space="preserve">, </w:t>
      </w:r>
      <w:r>
        <w:rPr>
          <w:rFonts w:ascii="Cambria" w:eastAsia="Cambria" w:hAnsi="Cambria" w:cs="Cambria"/>
          <w:i/>
        </w:rPr>
        <w:t>6</w:t>
      </w:r>
      <w:r>
        <w:rPr>
          <w:rFonts w:ascii="Cambria" w:eastAsia="Cambria" w:hAnsi="Cambria" w:cs="Cambria"/>
        </w:rPr>
        <w:t>(2), 901-908.</w:t>
      </w:r>
    </w:p>
    <w:p w14:paraId="05437B75"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Bartos, A. E. (2013). Children sensing place. </w:t>
      </w:r>
      <w:r>
        <w:rPr>
          <w:rFonts w:ascii="Cambria" w:eastAsia="Cambria" w:hAnsi="Cambria" w:cs="Cambria"/>
          <w:i/>
        </w:rPr>
        <w:t>Emotion, Space and Society</w:t>
      </w:r>
      <w:r>
        <w:rPr>
          <w:rFonts w:ascii="Cambria" w:eastAsia="Cambria" w:hAnsi="Cambria" w:cs="Cambria"/>
        </w:rPr>
        <w:t xml:space="preserve">, </w:t>
      </w:r>
      <w:r>
        <w:rPr>
          <w:rFonts w:ascii="Cambria" w:eastAsia="Cambria" w:hAnsi="Cambria" w:cs="Cambria"/>
          <w:i/>
        </w:rPr>
        <w:t>9</w:t>
      </w:r>
      <w:r>
        <w:rPr>
          <w:rFonts w:ascii="Cambria" w:eastAsia="Cambria" w:hAnsi="Cambria" w:cs="Cambria"/>
        </w:rPr>
        <w:t>, 89-98.</w:t>
      </w:r>
    </w:p>
    <w:p w14:paraId="08E3DEC5"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Ceka, A., and Murati, R. (2016). The Role of Parents in the Education of Children. </w:t>
      </w:r>
      <w:r>
        <w:rPr>
          <w:rFonts w:ascii="Cambria" w:eastAsia="Cambria" w:hAnsi="Cambria" w:cs="Cambria"/>
          <w:i/>
        </w:rPr>
        <w:t>Journal of Education and practice</w:t>
      </w:r>
      <w:r>
        <w:rPr>
          <w:rFonts w:ascii="Cambria" w:eastAsia="Cambria" w:hAnsi="Cambria" w:cs="Cambria"/>
        </w:rPr>
        <w:t xml:space="preserve">, </w:t>
      </w:r>
      <w:r>
        <w:rPr>
          <w:rFonts w:ascii="Cambria" w:eastAsia="Cambria" w:hAnsi="Cambria" w:cs="Cambria"/>
          <w:i/>
        </w:rPr>
        <w:t>7</w:t>
      </w:r>
      <w:r>
        <w:rPr>
          <w:rFonts w:ascii="Cambria" w:eastAsia="Cambria" w:hAnsi="Cambria" w:cs="Cambria"/>
        </w:rPr>
        <w:t>(5), 61-64.</w:t>
      </w:r>
    </w:p>
    <w:p w14:paraId="28E5E5F0"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Darke, P., Shanks, G., and Broadbent, M. (1998). Successfully completing case study research: Combining rigour, relevance and pragmatism. </w:t>
      </w:r>
      <w:r>
        <w:rPr>
          <w:rFonts w:ascii="Cambria" w:eastAsia="Cambria" w:hAnsi="Cambria" w:cs="Cambria"/>
          <w:i/>
        </w:rPr>
        <w:t>Information Systems Journal</w:t>
      </w:r>
      <w:r>
        <w:rPr>
          <w:rFonts w:ascii="Cambria" w:eastAsia="Cambria" w:hAnsi="Cambria" w:cs="Cambria"/>
        </w:rPr>
        <w:t xml:space="preserve">, </w:t>
      </w:r>
      <w:r>
        <w:rPr>
          <w:rFonts w:ascii="Cambria" w:eastAsia="Cambria" w:hAnsi="Cambria" w:cs="Cambria"/>
          <w:i/>
        </w:rPr>
        <w:t>8</w:t>
      </w:r>
      <w:r>
        <w:rPr>
          <w:rFonts w:ascii="Cambria" w:eastAsia="Cambria" w:hAnsi="Cambria" w:cs="Cambria"/>
        </w:rPr>
        <w:t>(4), 273-289.</w:t>
      </w:r>
    </w:p>
    <w:p w14:paraId="16B2EEC6"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Dickinson, D. K., and McCabe, A. (2001). Bringing it all together: The multiple origins, skills, and environmental supports of early literacy. </w:t>
      </w:r>
      <w:r>
        <w:rPr>
          <w:rFonts w:ascii="Cambria" w:eastAsia="Cambria" w:hAnsi="Cambria" w:cs="Cambria"/>
          <w:i/>
        </w:rPr>
        <w:t>Learning Disabilities Research and Practice</w:t>
      </w:r>
      <w:r>
        <w:rPr>
          <w:rFonts w:ascii="Cambria" w:eastAsia="Cambria" w:hAnsi="Cambria" w:cs="Cambria"/>
        </w:rPr>
        <w:t xml:space="preserve">, </w:t>
      </w:r>
      <w:r>
        <w:rPr>
          <w:rFonts w:ascii="Cambria" w:eastAsia="Cambria" w:hAnsi="Cambria" w:cs="Cambria"/>
          <w:i/>
        </w:rPr>
        <w:t>16</w:t>
      </w:r>
      <w:r>
        <w:rPr>
          <w:rFonts w:ascii="Cambria" w:eastAsia="Cambria" w:hAnsi="Cambria" w:cs="Cambria"/>
        </w:rPr>
        <w:t>(4), 186-202.</w:t>
      </w:r>
    </w:p>
    <w:p w14:paraId="697ED973"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Fareeda, P., Ea, E. P., Gallardo, G. R. B., Tangkli, K. Y. M., Abelito, J. T., &amp; Besa, A. S. (2023). Exploring the experiences of senior high school parents in online learning context. ASEAN </w:t>
      </w:r>
      <w:r>
        <w:rPr>
          <w:rFonts w:ascii="Cambria" w:eastAsia="Cambria" w:hAnsi="Cambria" w:cs="Cambria"/>
          <w:i/>
        </w:rPr>
        <w:t>Journal of Educational Research and Technology</w:t>
      </w:r>
      <w:r>
        <w:rPr>
          <w:rFonts w:ascii="Cambria" w:eastAsia="Cambria" w:hAnsi="Cambria" w:cs="Cambria"/>
        </w:rPr>
        <w:t xml:space="preserve">, </w:t>
      </w:r>
      <w:r>
        <w:rPr>
          <w:rFonts w:ascii="Cambria" w:eastAsia="Cambria" w:hAnsi="Cambria" w:cs="Cambria"/>
          <w:i/>
        </w:rPr>
        <w:t>2</w:t>
      </w:r>
      <w:r>
        <w:rPr>
          <w:rFonts w:ascii="Cambria" w:eastAsia="Cambria" w:hAnsi="Cambria" w:cs="Cambria"/>
        </w:rPr>
        <w:t>(1), 41-46.</w:t>
      </w:r>
    </w:p>
    <w:p w14:paraId="42690178"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Grace, A. M., Jethro, O. O., and Aina, F. F. (2012). Roles of parent on the academic performance of pupils in elementary schools. </w:t>
      </w:r>
      <w:r>
        <w:rPr>
          <w:rFonts w:ascii="Cambria" w:eastAsia="Cambria" w:hAnsi="Cambria" w:cs="Cambria"/>
          <w:i/>
        </w:rPr>
        <w:t>International Journal of Academic Research in Business and Social Sciences</w:t>
      </w:r>
      <w:r>
        <w:rPr>
          <w:rFonts w:ascii="Cambria" w:eastAsia="Cambria" w:hAnsi="Cambria" w:cs="Cambria"/>
        </w:rPr>
        <w:t xml:space="preserve">, </w:t>
      </w:r>
      <w:r>
        <w:rPr>
          <w:rFonts w:ascii="Cambria" w:eastAsia="Cambria" w:hAnsi="Cambria" w:cs="Cambria"/>
          <w:i/>
        </w:rPr>
        <w:t>2</w:t>
      </w:r>
      <w:r>
        <w:rPr>
          <w:rFonts w:ascii="Cambria" w:eastAsia="Cambria" w:hAnsi="Cambria" w:cs="Cambria"/>
        </w:rPr>
        <w:t>(1), 196.</w:t>
      </w:r>
    </w:p>
    <w:p w14:paraId="516A39A0"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Kirby, J. R., and Hogan, B. (2008). Family literacy environment and early literacy development. </w:t>
      </w:r>
      <w:r>
        <w:rPr>
          <w:rFonts w:ascii="Cambria" w:eastAsia="Cambria" w:hAnsi="Cambria" w:cs="Cambria"/>
          <w:i/>
        </w:rPr>
        <w:t>Exceptionality Education International</w:t>
      </w:r>
      <w:r>
        <w:rPr>
          <w:rFonts w:ascii="Cambria" w:eastAsia="Cambria" w:hAnsi="Cambria" w:cs="Cambria"/>
        </w:rPr>
        <w:t xml:space="preserve">, </w:t>
      </w:r>
      <w:r>
        <w:rPr>
          <w:rFonts w:ascii="Cambria" w:eastAsia="Cambria" w:hAnsi="Cambria" w:cs="Cambria"/>
          <w:i/>
        </w:rPr>
        <w:t>18</w:t>
      </w:r>
      <w:r>
        <w:rPr>
          <w:rFonts w:ascii="Cambria" w:eastAsia="Cambria" w:hAnsi="Cambria" w:cs="Cambria"/>
        </w:rPr>
        <w:t>(3), 112-130.</w:t>
      </w:r>
    </w:p>
    <w:p w14:paraId="73319194"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Maulid, M. N., and Sakti, A. W. (2022). The effectiveness of learning videos as a source of digital literacy on poster learning in elementary schools. </w:t>
      </w:r>
      <w:r>
        <w:rPr>
          <w:rFonts w:ascii="Cambria" w:eastAsia="Cambria" w:hAnsi="Cambria" w:cs="Cambria"/>
          <w:i/>
        </w:rPr>
        <w:t>Indonesian Journal of Multidiciplinary Research</w:t>
      </w:r>
      <w:r>
        <w:rPr>
          <w:rFonts w:ascii="Cambria" w:eastAsia="Cambria" w:hAnsi="Cambria" w:cs="Cambria"/>
        </w:rPr>
        <w:t xml:space="preserve">, </w:t>
      </w:r>
      <w:r>
        <w:rPr>
          <w:rFonts w:ascii="Cambria" w:eastAsia="Cambria" w:hAnsi="Cambria" w:cs="Cambria"/>
          <w:i/>
        </w:rPr>
        <w:t>2</w:t>
      </w:r>
      <w:r>
        <w:rPr>
          <w:rFonts w:ascii="Cambria" w:eastAsia="Cambria" w:hAnsi="Cambria" w:cs="Cambria"/>
        </w:rPr>
        <w:t>(1), 51-56.</w:t>
      </w:r>
    </w:p>
    <w:p w14:paraId="4FAACE87"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Mensah, F. K., and Kiernan, K. E. (2010). Gender differences in educational attainment: influences of the family environment. </w:t>
      </w:r>
      <w:r>
        <w:rPr>
          <w:rFonts w:ascii="Cambria" w:eastAsia="Cambria" w:hAnsi="Cambria" w:cs="Cambria"/>
          <w:i/>
        </w:rPr>
        <w:t>British Educational Research Journal</w:t>
      </w:r>
      <w:r>
        <w:rPr>
          <w:rFonts w:ascii="Cambria" w:eastAsia="Cambria" w:hAnsi="Cambria" w:cs="Cambria"/>
        </w:rPr>
        <w:t xml:space="preserve">, </w:t>
      </w:r>
      <w:r>
        <w:rPr>
          <w:rFonts w:ascii="Cambria" w:eastAsia="Cambria" w:hAnsi="Cambria" w:cs="Cambria"/>
          <w:i/>
        </w:rPr>
        <w:t>36</w:t>
      </w:r>
      <w:r>
        <w:rPr>
          <w:rFonts w:ascii="Cambria" w:eastAsia="Cambria" w:hAnsi="Cambria" w:cs="Cambria"/>
        </w:rPr>
        <w:t>(2), 239-260.</w:t>
      </w:r>
    </w:p>
    <w:p w14:paraId="66C2034E"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lastRenderedPageBreak/>
        <w:t xml:space="preserve">Palma, M. C., Escucha, T. N. V., Distor, Z. B., Tuyao, B. V., Malaco, A., and Estrellan, J. (2021). Parental academic support in online and modular learners amidst pandemic: A comparative study. </w:t>
      </w:r>
      <w:r>
        <w:rPr>
          <w:rFonts w:ascii="Cambria" w:eastAsia="Cambria" w:hAnsi="Cambria" w:cs="Cambria"/>
          <w:i/>
        </w:rPr>
        <w:t>Indonesian Journal of Community and Special Needs Education</w:t>
      </w:r>
      <w:r>
        <w:rPr>
          <w:rFonts w:ascii="Cambria" w:eastAsia="Cambria" w:hAnsi="Cambria" w:cs="Cambria"/>
        </w:rPr>
        <w:t xml:space="preserve">, </w:t>
      </w:r>
      <w:r>
        <w:rPr>
          <w:rFonts w:ascii="Cambria" w:eastAsia="Cambria" w:hAnsi="Cambria" w:cs="Cambria"/>
          <w:i/>
        </w:rPr>
        <w:t>1</w:t>
      </w:r>
      <w:r>
        <w:rPr>
          <w:rFonts w:ascii="Cambria" w:eastAsia="Cambria" w:hAnsi="Cambria" w:cs="Cambria"/>
        </w:rPr>
        <w:t>(1), 31-36.</w:t>
      </w:r>
    </w:p>
    <w:p w14:paraId="3C05C79D"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Pervin, L. A. (1978). Definitions, measurements, and classifications of stimuli, situations, and environments. </w:t>
      </w:r>
      <w:r>
        <w:rPr>
          <w:rFonts w:ascii="Cambria" w:eastAsia="Cambria" w:hAnsi="Cambria" w:cs="Cambria"/>
          <w:i/>
        </w:rPr>
        <w:t>Human Ecology</w:t>
      </w:r>
      <w:r>
        <w:rPr>
          <w:rFonts w:ascii="Cambria" w:eastAsia="Cambria" w:hAnsi="Cambria" w:cs="Cambria"/>
        </w:rPr>
        <w:t xml:space="preserve">, </w:t>
      </w:r>
      <w:r>
        <w:rPr>
          <w:rFonts w:ascii="Cambria" w:eastAsia="Cambria" w:hAnsi="Cambria" w:cs="Cambria"/>
          <w:i/>
        </w:rPr>
        <w:t>6</w:t>
      </w:r>
      <w:r>
        <w:rPr>
          <w:rFonts w:ascii="Cambria" w:eastAsia="Cambria" w:hAnsi="Cambria" w:cs="Cambria"/>
        </w:rPr>
        <w:t>, 71-105.</w:t>
      </w:r>
    </w:p>
    <w:p w14:paraId="44C7AAAD" w14:textId="77777777" w:rsidR="00166399" w:rsidRDefault="003B0A72">
      <w:pPr>
        <w:spacing w:line="240" w:lineRule="auto"/>
        <w:ind w:left="450" w:hanging="426"/>
        <w:jc w:val="both"/>
        <w:rPr>
          <w:rFonts w:ascii="Cambria" w:eastAsia="Cambria" w:hAnsi="Cambria" w:cs="Cambria"/>
        </w:rPr>
      </w:pPr>
      <w:r>
        <w:rPr>
          <w:rFonts w:ascii="Cambria" w:eastAsia="Cambria" w:hAnsi="Cambria" w:cs="Cambria"/>
        </w:rPr>
        <w:t xml:space="preserve">Rahmat, A. (2021). Standards for dimensions of space and environment in buildings for people with special needs (i.e. Wheelchairs, crutches, canes for the visually impaired). </w:t>
      </w:r>
      <w:r>
        <w:rPr>
          <w:rFonts w:ascii="Cambria" w:eastAsia="Cambria" w:hAnsi="Cambria" w:cs="Cambria"/>
          <w:i/>
        </w:rPr>
        <w:t>Indonesian Journal of Community and Special Needs Education</w:t>
      </w:r>
      <w:r>
        <w:rPr>
          <w:rFonts w:ascii="Cambria" w:eastAsia="Cambria" w:hAnsi="Cambria" w:cs="Cambria"/>
        </w:rPr>
        <w:t xml:space="preserve">, </w:t>
      </w:r>
      <w:r>
        <w:rPr>
          <w:rFonts w:ascii="Cambria" w:eastAsia="Cambria" w:hAnsi="Cambria" w:cs="Cambria"/>
          <w:i/>
        </w:rPr>
        <w:t>1</w:t>
      </w:r>
      <w:r>
        <w:rPr>
          <w:rFonts w:ascii="Cambria" w:eastAsia="Cambria" w:hAnsi="Cambria" w:cs="Cambria"/>
        </w:rPr>
        <w:t>(1), 19-24.</w:t>
      </w:r>
    </w:p>
    <w:p w14:paraId="3AEB841E" w14:textId="77777777" w:rsidR="00166399" w:rsidRDefault="003B0A72">
      <w:pPr>
        <w:spacing w:line="240" w:lineRule="auto"/>
        <w:ind w:left="450" w:hanging="426"/>
        <w:jc w:val="both"/>
      </w:pPr>
      <w:r>
        <w:rPr>
          <w:rFonts w:ascii="Cambria" w:eastAsia="Cambria" w:hAnsi="Cambria" w:cs="Cambria"/>
        </w:rPr>
        <w:t xml:space="preserve">Schofield, G., and Beek, M. (2005). Providing a secure base: Parenting children in long-term foster family care. </w:t>
      </w:r>
      <w:r>
        <w:rPr>
          <w:rFonts w:ascii="Cambria" w:eastAsia="Cambria" w:hAnsi="Cambria" w:cs="Cambria"/>
          <w:i/>
        </w:rPr>
        <w:t>Attachment and human development</w:t>
      </w:r>
      <w:r>
        <w:rPr>
          <w:rFonts w:ascii="Cambria" w:eastAsia="Cambria" w:hAnsi="Cambria" w:cs="Cambria"/>
        </w:rPr>
        <w:t xml:space="preserve">, </w:t>
      </w:r>
      <w:r>
        <w:rPr>
          <w:rFonts w:ascii="Cambria" w:eastAsia="Cambria" w:hAnsi="Cambria" w:cs="Cambria"/>
          <w:i/>
        </w:rPr>
        <w:t>7</w:t>
      </w:r>
      <w:r>
        <w:rPr>
          <w:rFonts w:ascii="Cambria" w:eastAsia="Cambria" w:hAnsi="Cambria" w:cs="Cambria"/>
        </w:rPr>
        <w:t>(1), 23-26.</w:t>
      </w:r>
    </w:p>
    <w:sectPr w:rsidR="00166399">
      <w:type w:val="continuous"/>
      <w:pgSz w:w="11906" w:h="16838"/>
      <w:pgMar w:top="1135" w:right="1440" w:bottom="1440" w:left="1440" w:header="708"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3891" w14:textId="77777777" w:rsidR="00BD6467" w:rsidRDefault="00BD6467">
      <w:pPr>
        <w:spacing w:after="0" w:line="240" w:lineRule="auto"/>
      </w:pPr>
      <w:r>
        <w:separator/>
      </w:r>
    </w:p>
  </w:endnote>
  <w:endnote w:type="continuationSeparator" w:id="0">
    <w:p w14:paraId="31249B1D" w14:textId="77777777" w:rsidR="00BD6467" w:rsidRDefault="00BD6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Rounded">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FDE8" w14:textId="55D8B7B1" w:rsidR="00166399" w:rsidRPr="00576DF2" w:rsidRDefault="003B0A72" w:rsidP="00576DF2">
    <w:pPr>
      <w:pStyle w:val="Footer"/>
    </w:pPr>
    <w:r w:rsidRPr="00576DF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B6D0" w14:textId="77777777" w:rsidR="00166399" w:rsidRDefault="003B0A72">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666666"/>
        <w:sz w:val="20"/>
        <w:szCs w:val="20"/>
        <w:highlight w:val="white"/>
      </w:rPr>
      <w:t>DOI: </w:t>
    </w:r>
    <w:hyperlink r:id="rId1">
      <w:r>
        <w:rPr>
          <w:rFonts w:ascii="Times New Roman" w:eastAsia="Times New Roman" w:hAnsi="Times New Roman" w:cs="Times New Roman"/>
          <w:color w:val="0000FF"/>
          <w:sz w:val="20"/>
          <w:szCs w:val="20"/>
          <w:highlight w:val="white"/>
          <w:u w:val="single"/>
        </w:rPr>
        <w:t>http://dx.doi.org/10.xxxxx/ijost.v2i2</w:t>
      </w:r>
    </w:hyperlink>
  </w:p>
  <w:p w14:paraId="42AC19D0" w14:textId="77777777" w:rsidR="00166399" w:rsidRDefault="003B0A72">
    <w:pPr>
      <w:pBdr>
        <w:top w:val="nil"/>
        <w:left w:val="nil"/>
        <w:bottom w:val="nil"/>
        <w:right w:val="nil"/>
        <w:between w:val="nil"/>
      </w:pBdr>
      <w:tabs>
        <w:tab w:val="center" w:pos="4513"/>
        <w:tab w:val="right" w:pos="9026"/>
      </w:tabs>
      <w:spacing w:after="0" w:line="240" w:lineRule="auto"/>
      <w:ind w:right="360" w:firstLine="360"/>
      <w:jc w:val="right"/>
      <w:rPr>
        <w:color w:val="000000"/>
        <w:sz w:val="20"/>
        <w:szCs w:val="20"/>
      </w:rPr>
    </w:pPr>
    <w:r>
      <w:rPr>
        <w:rFonts w:ascii="Times New Roman" w:eastAsia="Times New Roman" w:hAnsi="Times New Roman" w:cs="Times New Roman"/>
        <w:color w:val="666666"/>
        <w:sz w:val="20"/>
        <w:szCs w:val="20"/>
        <w:highlight w:val="white"/>
      </w:rPr>
      <w:t>p- ISSN 2528-1410 e- ISSN 2527-8045</w:t>
    </w:r>
  </w:p>
  <w:p w14:paraId="5F6708A4" w14:textId="77777777" w:rsidR="00166399" w:rsidRDefault="001663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5A5C" w14:textId="760BE926" w:rsidR="00166399" w:rsidRPr="00576DF2" w:rsidRDefault="003B0A72" w:rsidP="00576DF2">
    <w:pPr>
      <w:pStyle w:val="Footer"/>
    </w:pPr>
    <w:r w:rsidRPr="00576D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8855" w14:textId="77777777" w:rsidR="00BD6467" w:rsidRDefault="00BD6467">
      <w:pPr>
        <w:spacing w:after="0" w:line="240" w:lineRule="auto"/>
      </w:pPr>
      <w:r>
        <w:separator/>
      </w:r>
    </w:p>
  </w:footnote>
  <w:footnote w:type="continuationSeparator" w:id="0">
    <w:p w14:paraId="239F40EE" w14:textId="77777777" w:rsidR="00BD6467" w:rsidRDefault="00BD6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1D80" w14:textId="77777777" w:rsidR="00166399" w:rsidRDefault="003B0A72">
    <w:pPr>
      <w:pBdr>
        <w:top w:val="nil"/>
        <w:left w:val="nil"/>
        <w:bottom w:val="nil"/>
        <w:right w:val="nil"/>
        <w:between w:val="nil"/>
      </w:pBdr>
      <w:tabs>
        <w:tab w:val="center" w:pos="4680"/>
        <w:tab w:val="right" w:pos="9360"/>
      </w:tabs>
      <w:spacing w:after="0" w:line="240" w:lineRule="auto"/>
      <w:jc w:val="right"/>
      <w:rPr>
        <w:color w:val="000000"/>
        <w:sz w:val="20"/>
        <w:szCs w:val="20"/>
      </w:rPr>
    </w:pPr>
    <w:r>
      <w:rPr>
        <w:rFonts w:ascii="Constantia" w:eastAsia="Constantia" w:hAnsi="Constantia" w:cs="Constantia"/>
        <w:i/>
        <w:color w:val="000000"/>
        <w:sz w:val="20"/>
        <w:szCs w:val="20"/>
      </w:rPr>
      <w:t>Author’s names</w:t>
    </w:r>
    <w:r>
      <w:rPr>
        <w:i/>
        <w:color w:val="000000"/>
        <w:sz w:val="20"/>
        <w:szCs w:val="20"/>
      </w:rPr>
      <w:t xml:space="preserve">., </w:t>
    </w:r>
    <w:r>
      <w:rPr>
        <w:rFonts w:ascii="Cambria" w:eastAsia="Cambria" w:hAnsi="Cambria" w:cs="Cambria"/>
        <w:b/>
        <w:color w:val="000000"/>
        <w:sz w:val="20"/>
        <w:szCs w:val="20"/>
      </w:rPr>
      <w:t>Article’s title</w:t>
    </w:r>
    <w:r>
      <w:rPr>
        <w:rFonts w:ascii="Constantia" w:eastAsia="Constantia" w:hAnsi="Constantia" w:cs="Constantia"/>
        <w:b/>
        <w:color w:val="000000"/>
        <w:sz w:val="20"/>
        <w:szCs w:val="20"/>
      </w:rPr>
      <w:t xml:space="preserve"> </w:t>
    </w:r>
    <w:r>
      <w:rPr>
        <w:color w:val="000000"/>
        <w:sz w:val="20"/>
        <w:szCs w:val="20"/>
      </w:rPr>
      <w:t xml:space="preserve">| </w:t>
    </w:r>
    <w:r>
      <w:rPr>
        <w:rFonts w:ascii="Arial Rounded" w:eastAsia="Arial Rounded" w:hAnsi="Arial Rounded" w:cs="Arial Rounded"/>
        <w:b/>
        <w:color w:val="00000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4AA8" w14:textId="77777777" w:rsidR="00166399" w:rsidRDefault="003B0A72">
    <w:pPr>
      <w:pBdr>
        <w:top w:val="nil"/>
        <w:left w:val="nil"/>
        <w:bottom w:val="nil"/>
        <w:right w:val="nil"/>
        <w:between w:val="nil"/>
      </w:pBdr>
      <w:tabs>
        <w:tab w:val="center" w:pos="4680"/>
        <w:tab w:val="right" w:pos="9360"/>
      </w:tabs>
      <w:spacing w:after="0" w:line="240" w:lineRule="auto"/>
      <w:rPr>
        <w:color w:val="FFFFFF"/>
        <w:sz w:val="20"/>
        <w:szCs w:val="20"/>
      </w:rPr>
    </w:pPr>
    <w:r>
      <w:rPr>
        <w:color w:val="FFFFFF"/>
        <w:sz w:val="20"/>
        <w:szCs w:val="20"/>
      </w:rPr>
      <w:fldChar w:fldCharType="begin"/>
    </w:r>
    <w:r>
      <w:rPr>
        <w:color w:val="FFFFFF"/>
        <w:sz w:val="20"/>
        <w:szCs w:val="20"/>
      </w:rPr>
      <w:instrText>PAGE</w:instrText>
    </w:r>
    <w:r>
      <w:rPr>
        <w:color w:val="FFFFFF"/>
        <w:sz w:val="20"/>
        <w:szCs w:val="20"/>
      </w:rPr>
      <w:fldChar w:fldCharType="separate"/>
    </w:r>
    <w:r w:rsidR="00576DF2">
      <w:rPr>
        <w:noProof/>
        <w:color w:val="FFFFFF"/>
        <w:sz w:val="20"/>
        <w:szCs w:val="20"/>
      </w:rPr>
      <w:t>167</w:t>
    </w:r>
    <w:r>
      <w:rPr>
        <w:color w:val="FFFFFF"/>
        <w:sz w:val="20"/>
        <w:szCs w:val="20"/>
      </w:rPr>
      <w:fldChar w:fldCharType="end"/>
    </w:r>
  </w:p>
  <w:p w14:paraId="490FF78E" w14:textId="77777777" w:rsidR="00166399" w:rsidRDefault="003B0A72">
    <w:pPr>
      <w:pBdr>
        <w:top w:val="nil"/>
        <w:left w:val="nil"/>
        <w:bottom w:val="nil"/>
        <w:right w:val="nil"/>
        <w:between w:val="nil"/>
      </w:pBdr>
      <w:tabs>
        <w:tab w:val="center" w:pos="4680"/>
        <w:tab w:val="right" w:pos="9360"/>
        <w:tab w:val="left" w:pos="7797"/>
      </w:tabs>
      <w:spacing w:after="0" w:line="240" w:lineRule="auto"/>
      <w:rPr>
        <w:color w:val="000000"/>
        <w:sz w:val="20"/>
        <w:szCs w:val="20"/>
      </w:rPr>
    </w:pPr>
    <w:r>
      <w:rPr>
        <w:color w:val="000000"/>
        <w:sz w:val="20"/>
        <w:szCs w:val="20"/>
      </w:rPr>
      <w:tab/>
    </w:r>
  </w:p>
  <w:p w14:paraId="0498EB6A" w14:textId="77777777" w:rsidR="00166399" w:rsidRDefault="001663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C118" w14:textId="77777777" w:rsidR="00166399" w:rsidRDefault="003B0A72">
    <w:pPr>
      <w:pBdr>
        <w:top w:val="nil"/>
        <w:left w:val="nil"/>
        <w:bottom w:val="nil"/>
        <w:right w:val="nil"/>
        <w:between w:val="nil"/>
      </w:pBdr>
      <w:tabs>
        <w:tab w:val="center" w:pos="4680"/>
        <w:tab w:val="right" w:pos="9360"/>
      </w:tabs>
      <w:spacing w:after="0" w:line="240" w:lineRule="auto"/>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5DFC8DFC" w14:textId="77777777" w:rsidR="00166399" w:rsidRDefault="00166399">
    <w:pPr>
      <w:pBdr>
        <w:top w:val="nil"/>
        <w:left w:val="nil"/>
        <w:bottom w:val="nil"/>
        <w:right w:val="nil"/>
        <w:between w:val="nil"/>
      </w:pBdr>
      <w:tabs>
        <w:tab w:val="center" w:pos="4680"/>
        <w:tab w:val="right" w:pos="9360"/>
      </w:tabs>
      <w:spacing w:after="0" w:line="240" w:lineRule="auto"/>
      <w:rPr>
        <w:color w:val="000000"/>
        <w:sz w:val="20"/>
        <w:szCs w:val="20"/>
      </w:rPr>
    </w:pPr>
  </w:p>
  <w:p w14:paraId="3CDFD556" w14:textId="77777777" w:rsidR="00166399" w:rsidRDefault="001663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21B04"/>
    <w:multiLevelType w:val="multilevel"/>
    <w:tmpl w:val="2ED86C1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4B0B38"/>
    <w:multiLevelType w:val="multilevel"/>
    <w:tmpl w:val="4B1E30F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735B5A"/>
    <w:multiLevelType w:val="multilevel"/>
    <w:tmpl w:val="CC14B3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F4961B7"/>
    <w:multiLevelType w:val="multilevel"/>
    <w:tmpl w:val="09904A28"/>
    <w:lvl w:ilvl="0">
      <w:start w:val="1"/>
      <w:numFmt w:val="lowerRoman"/>
      <w:pStyle w:val="Papersection"/>
      <w:lvlText w:val="(%1)"/>
      <w:lvlJc w:val="left"/>
      <w:pPr>
        <w:ind w:left="720" w:hanging="360"/>
      </w:pPr>
    </w:lvl>
    <w:lvl w:ilvl="1">
      <w:start w:val="1"/>
      <w:numFmt w:val="lowerLetter"/>
      <w:pStyle w:val="Papersubsectio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857595">
    <w:abstractNumId w:val="3"/>
  </w:num>
  <w:num w:numId="2" w16cid:durableId="415832748">
    <w:abstractNumId w:val="1"/>
  </w:num>
  <w:num w:numId="3" w16cid:durableId="1926375684">
    <w:abstractNumId w:val="0"/>
  </w:num>
  <w:num w:numId="4" w16cid:durableId="2128500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399"/>
    <w:rsid w:val="00166399"/>
    <w:rsid w:val="003B0A72"/>
    <w:rsid w:val="00576DF2"/>
    <w:rsid w:val="00AA3398"/>
    <w:rsid w:val="00BD6467"/>
    <w:rsid w:val="00CF32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433A"/>
  <w15:docId w15:val="{28437D3B-9616-4BD6-ACED-2E062B54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388"/>
  </w:style>
  <w:style w:type="paragraph" w:styleId="Heading1">
    <w:name w:val="heading 1"/>
    <w:basedOn w:val="Normal"/>
    <w:next w:val="Paragraph"/>
    <w:link w:val="Heading1Char"/>
    <w:uiPriority w:val="9"/>
    <w:qFormat/>
    <w:rsid w:val="008171F4"/>
    <w:pPr>
      <w:keepNext/>
      <w:spacing w:before="240" w:after="240" w:line="240" w:lineRule="auto"/>
      <w:jc w:val="center"/>
      <w:outlineLvl w:val="0"/>
    </w:pPr>
    <w:rPr>
      <w:rFonts w:eastAsia="MS Mincho"/>
      <w:b/>
      <w:caps/>
      <w:szCs w:val="20"/>
    </w:rPr>
  </w:style>
  <w:style w:type="paragraph" w:styleId="Heading2">
    <w:name w:val="heading 2"/>
    <w:basedOn w:val="Normal"/>
    <w:next w:val="Paragraph"/>
    <w:link w:val="Heading2Char"/>
    <w:uiPriority w:val="9"/>
    <w:semiHidden/>
    <w:unhideWhenUsed/>
    <w:qFormat/>
    <w:rsid w:val="008171F4"/>
    <w:pPr>
      <w:keepNext/>
      <w:spacing w:before="240" w:after="240" w:line="240" w:lineRule="auto"/>
      <w:jc w:val="center"/>
      <w:outlineLvl w:val="1"/>
    </w:pPr>
    <w:rPr>
      <w:rFonts w:eastAsia="MS Mincho"/>
      <w:b/>
      <w:szCs w:val="20"/>
    </w:rPr>
  </w:style>
  <w:style w:type="paragraph" w:styleId="Heading3">
    <w:name w:val="heading 3"/>
    <w:basedOn w:val="Normal"/>
    <w:next w:val="Normal"/>
    <w:link w:val="Heading3Char"/>
    <w:uiPriority w:val="9"/>
    <w:semiHidden/>
    <w:unhideWhenUsed/>
    <w:qFormat/>
    <w:rsid w:val="008171F4"/>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rPr>
  </w:style>
  <w:style w:type="paragraph" w:styleId="Heading5">
    <w:name w:val="heading 5"/>
    <w:basedOn w:val="Normal"/>
    <w:next w:val="Normal"/>
    <w:link w:val="Heading5Char"/>
    <w:uiPriority w:val="9"/>
    <w:semiHidden/>
    <w:unhideWhenUsed/>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rPr>
  </w:style>
  <w:style w:type="paragraph" w:styleId="Heading6">
    <w:name w:val="heading 6"/>
    <w:basedOn w:val="Normal"/>
    <w:next w:val="Normal"/>
    <w:link w:val="Heading6Char"/>
    <w:uiPriority w:val="9"/>
    <w:semiHidden/>
    <w:unhideWhenUsed/>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rPr>
  </w:style>
  <w:style w:type="character" w:customStyle="1" w:styleId="Heading1Char">
    <w:name w:val="Heading 1 Char"/>
    <w:link w:val="Heading1"/>
    <w:uiPriority w:val="9"/>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ps">
    <w:name w:val="hps"/>
    <w:rsid w:val="00217622"/>
  </w:style>
  <w:style w:type="character" w:styleId="Hyperlink">
    <w:name w:val="Hyperlink"/>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val="x-none"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nhideWhenUsed/>
    <w:rsid w:val="00217622"/>
    <w:pPr>
      <w:tabs>
        <w:tab w:val="center" w:pos="4513"/>
        <w:tab w:val="right" w:pos="9026"/>
      </w:tabs>
      <w:spacing w:after="0" w:line="240" w:lineRule="auto"/>
    </w:pPr>
    <w:rPr>
      <w:sz w:val="20"/>
      <w:szCs w:val="20"/>
      <w:lang w:eastAsia="x-none"/>
    </w:rPr>
  </w:style>
  <w:style w:type="character" w:customStyle="1" w:styleId="FooterChar">
    <w:name w:val="Footer Char"/>
    <w:link w:val="Footer"/>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lang w:eastAsia="x-none"/>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lang w:eastAsia="x-none"/>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lang w:eastAsia="x-none"/>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basedOn w:val="Normal"/>
    <w:uiPriority w:val="34"/>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spacing w:line="240" w:lineRule="auto"/>
      <w:jc w:val="center"/>
    </w:pPr>
    <w:rPr>
      <w:szCs w:val="20"/>
      <w:lang w:eastAsia="x-none"/>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spacing w:line="240" w:lineRule="auto"/>
      <w:ind w:firstLine="425"/>
      <w:jc w:val="both"/>
    </w:pPr>
    <w:rPr>
      <w:szCs w:val="20"/>
      <w:lang w:eastAsia="x-none"/>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eastAsia="en-US"/>
    </w:rPr>
  </w:style>
  <w:style w:type="paragraph" w:customStyle="1" w:styleId="Papermain">
    <w:name w:val="Paper main"/>
    <w:uiPriority w:val="99"/>
    <w:qFormat/>
    <w:rsid w:val="00460E66"/>
    <w:pPr>
      <w:spacing w:line="480" w:lineRule="auto"/>
      <w:jc w:val="both"/>
    </w:pPr>
    <w:rPr>
      <w:rFonts w:ascii="Times New Roman" w:hAnsi="Times New Roman" w:cs="Arial"/>
      <w:color w:val="000000"/>
      <w:szCs w:val="22"/>
      <w:lang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semiHidden/>
    <w:unhideWhenUsed/>
    <w:rsid w:val="003827B4"/>
    <w:pPr>
      <w:spacing w:after="0" w:line="240" w:lineRule="auto"/>
    </w:pPr>
    <w:rPr>
      <w:rFonts w:ascii="Tahoma" w:hAnsi="Tahoma"/>
      <w:sz w:val="16"/>
      <w:szCs w:val="16"/>
      <w:lang w:eastAsia="x-none"/>
    </w:rPr>
  </w:style>
  <w:style w:type="character" w:customStyle="1" w:styleId="BalloonTextChar">
    <w:name w:val="Balloon Text Char"/>
    <w:link w:val="BalloonText"/>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style>
  <w:style w:type="paragraph" w:styleId="Caption">
    <w:name w:val="caption"/>
    <w:basedOn w:val="Normal"/>
    <w:next w:val="Normal"/>
    <w:uiPriority w:val="35"/>
    <w:qFormat/>
    <w:rsid w:val="008171F4"/>
    <w:pPr>
      <w:widowControl w:val="0"/>
      <w:spacing w:after="0" w:line="240" w:lineRule="auto"/>
      <w:jc w:val="both"/>
    </w:pPr>
    <w:rPr>
      <w:rFonts w:ascii="Century" w:eastAsia="MS Mincho" w:hAnsi="Century"/>
      <w:b/>
      <w:bCs/>
      <w:kern w:val="2"/>
      <w:sz w:val="20"/>
      <w:szCs w:val="20"/>
      <w:lang w:eastAsia="ja-JP"/>
    </w:rPr>
  </w:style>
  <w:style w:type="paragraph" w:styleId="Bibliography">
    <w:name w:val="Bibliography"/>
    <w:basedOn w:val="Normal"/>
    <w:next w:val="Normal"/>
    <w:unhideWhenUsed/>
    <w:rsid w:val="008171F4"/>
    <w:pPr>
      <w:widowControl w:val="0"/>
      <w:spacing w:after="0" w:line="240" w:lineRule="auto"/>
      <w:jc w:val="both"/>
    </w:pPr>
    <w:rPr>
      <w:rFonts w:ascii="Century" w:eastAsia="MS Mincho" w:hAnsi="Century"/>
      <w:kern w:val="2"/>
      <w:sz w:val="21"/>
      <w:lang w:eastAsia="ja-JP"/>
    </w:rPr>
  </w:style>
  <w:style w:type="character" w:styleId="Emphasis">
    <w:name w:val="Emphasis"/>
    <w:uiPriority w:val="20"/>
    <w:qFormat/>
    <w:rsid w:val="008171F4"/>
    <w:rPr>
      <w:rFonts w:cs="Times New Roman"/>
      <w:i/>
      <w:iCs/>
    </w:rPr>
  </w:style>
  <w:style w:type="paragraph" w:styleId="CommentText">
    <w:name w:val="annotation text"/>
    <w:basedOn w:val="Normal"/>
    <w:link w:val="CommentTextChar"/>
    <w:unhideWhenUsed/>
    <w:rsid w:val="008171F4"/>
    <w:pPr>
      <w:spacing w:line="240" w:lineRule="auto"/>
    </w:pPr>
    <w:rPr>
      <w:sz w:val="20"/>
      <w:szCs w:val="20"/>
    </w:rPr>
  </w:style>
  <w:style w:type="character" w:customStyle="1" w:styleId="CommentTextChar">
    <w:name w:val="Comment Text Char"/>
    <w:link w:val="CommentText"/>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rsid w:val="008171F4"/>
    <w:pPr>
      <w:spacing w:after="0"/>
    </w:pPr>
    <w:rPr>
      <w:b/>
      <w:bCs/>
    </w:rPr>
  </w:style>
  <w:style w:type="character" w:customStyle="1" w:styleId="CommentSubjectChar">
    <w:name w:val="Comment Subject Char"/>
    <w:link w:val="CommentSubject"/>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eastAsia="ja-JP"/>
    </w:rPr>
  </w:style>
  <w:style w:type="paragraph" w:styleId="NormalWeb">
    <w:name w:val="Normal (Web)"/>
    <w:basedOn w:val="Normal"/>
    <w:uiPriority w:val="99"/>
    <w:unhideWhenUsed/>
    <w:rsid w:val="008171F4"/>
    <w:pPr>
      <w:spacing w:before="100" w:beforeAutospacing="1" w:after="100" w:afterAutospacing="1" w:line="240" w:lineRule="auto"/>
    </w:pPr>
    <w:rPr>
      <w:rFonts w:ascii="Times New Roman" w:eastAsia="Times New Roman" w:hAnsi="Times New Roman"/>
    </w:rPr>
  </w:style>
  <w:style w:type="paragraph" w:customStyle="1" w:styleId="1subjud">
    <w:name w:val="1subjud"/>
    <w:basedOn w:val="1SUBJUDUL"/>
    <w:link w:val="1subjudChar"/>
    <w:qFormat/>
    <w:rsid w:val="008171F4"/>
    <w:pPr>
      <w:tabs>
        <w:tab w:val="num" w:pos="720"/>
      </w:tabs>
      <w:ind w:left="360" w:hanging="720"/>
    </w:pPr>
  </w:style>
  <w:style w:type="character" w:customStyle="1" w:styleId="1subjudChar">
    <w:name w:val="1subjud Char"/>
    <w:link w:val="1subjud"/>
    <w:rsid w:val="008171F4"/>
    <w:rPr>
      <w:b/>
      <w:caps/>
      <w:szCs w:val="20"/>
      <w:lang w:val="en-US" w:eastAsia="x-none"/>
    </w:rPr>
  </w:style>
  <w:style w:type="paragraph" w:customStyle="1" w:styleId="subsub">
    <w:name w:val="subsub"/>
    <w:basedOn w:val="1SUBJUDUL"/>
    <w:link w:val="subsubChar"/>
    <w:qFormat/>
    <w:rsid w:val="008171F4"/>
    <w:pPr>
      <w:tabs>
        <w:tab w:val="num" w:pos="1440"/>
      </w:tabs>
      <w:ind w:left="540" w:hanging="540"/>
    </w:pPr>
    <w:rPr>
      <w:caps w:val="0"/>
      <w:lang w:val="x-none"/>
    </w:rPr>
  </w:style>
  <w:style w:type="character" w:customStyle="1" w:styleId="subsubChar">
    <w:name w:val="subsub Char"/>
    <w:link w:val="subsub"/>
    <w:rsid w:val="008171F4"/>
    <w:rPr>
      <w:b/>
      <w:szCs w:val="20"/>
      <w:lang w:val="x-none" w:eastAsia="x-none"/>
    </w:rPr>
  </w:style>
  <w:style w:type="character" w:styleId="CommentReference">
    <w:name w:val="annotation reference"/>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rPr>
  </w:style>
  <w:style w:type="paragraph" w:customStyle="1" w:styleId="TAMainText">
    <w:name w:val="TA_Main_Text"/>
    <w:basedOn w:val="Normal"/>
    <w:rsid w:val="008171F4"/>
    <w:pPr>
      <w:spacing w:after="0" w:line="480" w:lineRule="auto"/>
      <w:ind w:firstLine="202"/>
      <w:jc w:val="both"/>
    </w:pPr>
    <w:rPr>
      <w:rFonts w:ascii="Times" w:eastAsia="MS Mincho" w:hAnsi="Times" w:cs="Time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uiPriority w:val="22"/>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rPr>
  </w:style>
  <w:style w:type="paragraph" w:customStyle="1" w:styleId="TCTableBody">
    <w:name w:val="TC_Table_Body"/>
    <w:basedOn w:val="Normal"/>
    <w:rsid w:val="008171F4"/>
    <w:pPr>
      <w:spacing w:after="200" w:line="240" w:lineRule="auto"/>
      <w:jc w:val="both"/>
    </w:pPr>
    <w:rPr>
      <w:rFonts w:ascii="Times" w:eastAsia="MS Mincho" w:hAnsi="Times"/>
      <w:szCs w:val="20"/>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eastAsia="ja-JP"/>
    </w:rPr>
  </w:style>
  <w:style w:type="paragraph" w:customStyle="1" w:styleId="Text">
    <w:name w:val="Text"/>
    <w:basedOn w:val="Normal"/>
    <w:link w:val="TextChar"/>
    <w:qFormat/>
    <w:rsid w:val="008171F4"/>
    <w:pPr>
      <w:spacing w:before="240" w:after="200" w:line="276" w:lineRule="auto"/>
      <w:jc w:val="both"/>
    </w:pPr>
    <w:rPr>
      <w:rFonts w:ascii="Cambria" w:hAnsi="Cambria"/>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tabs>
        <w:tab w:val="num" w:pos="720"/>
      </w:tabs>
      <w:autoSpaceDE w:val="0"/>
      <w:autoSpaceDN w:val="0"/>
      <w:spacing w:after="0" w:line="240" w:lineRule="auto"/>
      <w:ind w:left="720" w:hanging="720"/>
      <w:jc w:val="both"/>
    </w:pPr>
    <w:rPr>
      <w:rFonts w:ascii="Times New Roman" w:eastAsia="MS Mincho" w:hAnsi="Times New Roman"/>
      <w:sz w:val="16"/>
      <w:szCs w:val="16"/>
    </w:rPr>
  </w:style>
  <w:style w:type="paragraph" w:customStyle="1" w:styleId="Default">
    <w:name w:val="Default"/>
    <w:rsid w:val="008171F4"/>
    <w:pPr>
      <w:autoSpaceDE w:val="0"/>
      <w:autoSpaceDN w:val="0"/>
      <w:adjustRightInd w:val="0"/>
    </w:pPr>
    <w:rPr>
      <w:rFonts w:ascii="Arial" w:eastAsia="Times New Roman" w:hAnsi="Arial" w:cs="Arial"/>
      <w:color w:val="000000"/>
      <w:lang w:eastAsia="en-US"/>
    </w:rPr>
  </w:style>
  <w:style w:type="paragraph" w:customStyle="1" w:styleId="Bullet2">
    <w:name w:val="Bullet 2"/>
    <w:basedOn w:val="Normal"/>
    <w:rsid w:val="008171F4"/>
    <w:pPr>
      <w:tabs>
        <w:tab w:val="num" w:pos="720"/>
      </w:tabs>
      <w:spacing w:before="240" w:after="60" w:line="240" w:lineRule="auto"/>
      <w:ind w:left="720" w:hanging="720"/>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rPr>
  </w:style>
  <w:style w:type="paragraph" w:styleId="BodyText">
    <w:name w:val="Body Text"/>
    <w:basedOn w:val="Normal"/>
    <w:link w:val="BodyTextChar"/>
    <w:unhideWhenUsed/>
    <w:rsid w:val="008D462E"/>
    <w:pPr>
      <w:spacing w:after="120"/>
    </w:pPr>
    <w:rPr>
      <w:lang w:val="x-none"/>
    </w:rPr>
  </w:style>
  <w:style w:type="character" w:customStyle="1" w:styleId="BodyTextChar">
    <w:name w:val="Body Text Char"/>
    <w:link w:val="BodyText"/>
    <w:rsid w:val="008D462E"/>
    <w:rPr>
      <w:sz w:val="22"/>
      <w:szCs w:val="22"/>
      <w:lang w:eastAsia="en-US"/>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alt-edited">
    <w:name w:val="alt-edited"/>
    <w:rsid w:val="008D462E"/>
  </w:style>
  <w:style w:type="table" w:styleId="TableGrid">
    <w:name w:val="Table Grid"/>
    <w:basedOn w:val="TableNormal"/>
    <w:uiPriority w:val="39"/>
    <w:rsid w:val="00D825B7"/>
    <w:pPr>
      <w:jc w:val="right"/>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7187"/>
  </w:style>
  <w:style w:type="paragraph" w:customStyle="1" w:styleId="BodytextIndented">
    <w:name w:val="BodytextIndented"/>
    <w:basedOn w:val="Normal"/>
    <w:rsid w:val="009F35C3"/>
    <w:pPr>
      <w:spacing w:after="0" w:line="240" w:lineRule="auto"/>
      <w:ind w:firstLine="284"/>
      <w:jc w:val="both"/>
    </w:pPr>
    <w:rPr>
      <w:rFonts w:ascii="Times" w:eastAsiaTheme="minorEastAsia" w:hAnsi="Times"/>
      <w:iCs/>
      <w:color w:val="000000"/>
      <w:sz w:val="22"/>
      <w:szCs w:val="22"/>
      <w:lang w:eastAsia="en-US"/>
    </w:rPr>
  </w:style>
  <w:style w:type="paragraph" w:customStyle="1" w:styleId="Referencenonumber">
    <w:name w:val="Reference (no number)"/>
    <w:basedOn w:val="Normal"/>
    <w:rsid w:val="009F35C3"/>
    <w:pPr>
      <w:widowControl w:val="0"/>
      <w:tabs>
        <w:tab w:val="left" w:pos="567"/>
      </w:tabs>
      <w:spacing w:after="0" w:line="240" w:lineRule="auto"/>
      <w:ind w:left="851" w:hanging="284"/>
      <w:jc w:val="both"/>
    </w:pPr>
    <w:rPr>
      <w:rFonts w:ascii="Times" w:eastAsiaTheme="minorEastAsia" w:hAnsi="Times"/>
      <w:iCs/>
      <w:noProof/>
      <w:color w:val="000000"/>
      <w:sz w:val="22"/>
      <w:szCs w:val="22"/>
      <w:lang w:eastAsia="en-US"/>
    </w:rPr>
  </w:style>
  <w:style w:type="paragraph" w:customStyle="1" w:styleId="Subsubsection">
    <w:name w:val="Subsubsection"/>
    <w:next w:val="Bodytext0"/>
    <w:rsid w:val="009F35C3"/>
    <w:pPr>
      <w:numPr>
        <w:ilvl w:val="2"/>
        <w:numId w:val="4"/>
      </w:numPr>
      <w:spacing w:before="240"/>
      <w:ind w:firstLine="0"/>
    </w:pPr>
    <w:rPr>
      <w:rFonts w:ascii="Times" w:eastAsiaTheme="minorEastAsia" w:hAnsi="Times"/>
      <w:i/>
      <w:iCs/>
      <w:color w:val="000000"/>
      <w:sz w:val="22"/>
      <w:szCs w:val="22"/>
      <w:lang w:eastAsia="en-US"/>
    </w:rPr>
  </w:style>
  <w:style w:type="paragraph" w:customStyle="1" w:styleId="Bodytext0">
    <w:name w:val="Bodytext"/>
    <w:next w:val="BodytextIndented"/>
    <w:link w:val="Bodytext1"/>
    <w:rsid w:val="009F35C3"/>
    <w:pPr>
      <w:jc w:val="both"/>
    </w:pPr>
    <w:rPr>
      <w:rFonts w:ascii="Times" w:eastAsiaTheme="minorEastAsia" w:hAnsi="Times"/>
      <w:iCs/>
      <w:color w:val="000000"/>
      <w:sz w:val="22"/>
      <w:szCs w:val="22"/>
      <w:lang w:eastAsia="en-US"/>
    </w:rPr>
  </w:style>
  <w:style w:type="paragraph" w:customStyle="1" w:styleId="Section">
    <w:name w:val="Section"/>
    <w:next w:val="Bodytext0"/>
    <w:rsid w:val="009F35C3"/>
    <w:pPr>
      <w:tabs>
        <w:tab w:val="num" w:pos="720"/>
      </w:tabs>
      <w:spacing w:before="240"/>
      <w:ind w:left="720" w:hanging="720"/>
    </w:pPr>
    <w:rPr>
      <w:rFonts w:ascii="Times" w:eastAsiaTheme="minorEastAsia" w:hAnsi="Times"/>
      <w:b/>
      <w:iCs/>
      <w:color w:val="000000"/>
      <w:sz w:val="22"/>
      <w:szCs w:val="22"/>
      <w:lang w:eastAsia="en-US"/>
    </w:rPr>
  </w:style>
  <w:style w:type="paragraph" w:customStyle="1" w:styleId="Subsection">
    <w:name w:val="Subsection"/>
    <w:next w:val="Bodytext0"/>
    <w:rsid w:val="009F35C3"/>
    <w:pPr>
      <w:tabs>
        <w:tab w:val="num" w:pos="1440"/>
      </w:tabs>
      <w:spacing w:before="240"/>
      <w:ind w:left="1440" w:hanging="720"/>
    </w:pPr>
    <w:rPr>
      <w:rFonts w:ascii="Times" w:eastAsiaTheme="minorEastAsia" w:hAnsi="Times"/>
      <w:iCs/>
      <w:color w:val="000000"/>
      <w:sz w:val="22"/>
      <w:szCs w:val="22"/>
      <w:lang w:eastAsia="en-US"/>
    </w:rPr>
  </w:style>
  <w:style w:type="paragraph" w:customStyle="1" w:styleId="Sectionnonumber">
    <w:name w:val="Section (no number)"/>
    <w:next w:val="Bodytext0"/>
    <w:rsid w:val="009F35C3"/>
    <w:pPr>
      <w:spacing w:before="240"/>
    </w:pPr>
    <w:rPr>
      <w:rFonts w:ascii="Times" w:eastAsiaTheme="minorEastAsia" w:hAnsi="Times"/>
      <w:b/>
      <w:iCs/>
      <w:color w:val="000000"/>
      <w:sz w:val="22"/>
      <w:szCs w:val="22"/>
      <w:lang w:eastAsia="en-US"/>
    </w:rPr>
  </w:style>
  <w:style w:type="character" w:customStyle="1" w:styleId="Bodytext1">
    <w:name w:val="Bodytext (文字)"/>
    <w:basedOn w:val="DefaultParagraphFont"/>
    <w:link w:val="Bodytext0"/>
    <w:rsid w:val="009F35C3"/>
    <w:rPr>
      <w:rFonts w:ascii="Times" w:eastAsiaTheme="minorEastAsia" w:hAnsi="Times"/>
      <w:iCs/>
      <w:color w:val="000000"/>
      <w:sz w:val="22"/>
      <w:szCs w:val="22"/>
      <w:lang w:val="en-US" w:eastAsia="en-US"/>
    </w:rPr>
  </w:style>
  <w:style w:type="paragraph" w:customStyle="1" w:styleId="EndNoteBibliography">
    <w:name w:val="EndNote Bibliography"/>
    <w:basedOn w:val="Normal"/>
    <w:link w:val="EndNoteBibliography0"/>
    <w:rsid w:val="001A727C"/>
    <w:pPr>
      <w:spacing w:after="0" w:line="240" w:lineRule="auto"/>
    </w:pPr>
    <w:rPr>
      <w:rFonts w:ascii="Times" w:eastAsiaTheme="minorEastAsia" w:hAnsi="Times" w:cs="Times"/>
      <w:noProof/>
      <w:sz w:val="22"/>
      <w:szCs w:val="20"/>
      <w:lang w:eastAsia="en-US"/>
    </w:rPr>
  </w:style>
  <w:style w:type="character" w:customStyle="1" w:styleId="EndNoteBibliography0">
    <w:name w:val="EndNote Bibliography (文字)"/>
    <w:basedOn w:val="DefaultParagraphFont"/>
    <w:link w:val="EndNoteBibliography"/>
    <w:rsid w:val="001A727C"/>
    <w:rPr>
      <w:rFonts w:ascii="Times" w:eastAsiaTheme="minorEastAsia" w:hAnsi="Times" w:cs="Times"/>
      <w:noProof/>
      <w:sz w:val="22"/>
      <w:szCs w:val="20"/>
      <w:lang w:val="en-US" w:eastAsia="en-US"/>
    </w:rPr>
  </w:style>
  <w:style w:type="character" w:customStyle="1" w:styleId="UnresolvedMention1">
    <w:name w:val="Unresolved Mention1"/>
    <w:basedOn w:val="DefaultParagraphFont"/>
    <w:uiPriority w:val="99"/>
    <w:semiHidden/>
    <w:unhideWhenUsed/>
    <w:rsid w:val="008960B7"/>
    <w:rPr>
      <w:color w:val="808080"/>
      <w:shd w:val="clear" w:color="auto" w:fill="E6E6E6"/>
    </w:rPr>
  </w:style>
  <w:style w:type="table" w:customStyle="1" w:styleId="TableGrid0">
    <w:name w:val="TableGrid"/>
    <w:rsid w:val="004D103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322AE7"/>
    <w:pPr>
      <w:spacing w:after="0"/>
      <w:jc w:val="center"/>
    </w:pPr>
    <w:rPr>
      <w:rFonts w:ascii="Times" w:hAnsi="Times" w:cs="Times"/>
      <w:noProof/>
      <w:sz w:val="22"/>
    </w:rPr>
  </w:style>
  <w:style w:type="character" w:customStyle="1" w:styleId="EndNoteBibliographyTitleChar">
    <w:name w:val="EndNote Bibliography Title Char"/>
    <w:basedOn w:val="1ISIJOURNALChar"/>
    <w:link w:val="EndNoteBibliographyTitle"/>
    <w:rsid w:val="00322AE7"/>
    <w:rPr>
      <w:rFonts w:ascii="Times" w:eastAsia="Calibri" w:hAnsi="Times" w:cs="Times"/>
      <w:noProof/>
      <w:sz w:val="22"/>
      <w:lang w:val="id-ID"/>
    </w:rPr>
  </w:style>
  <w:style w:type="character" w:customStyle="1" w:styleId="UnresolvedMention2">
    <w:name w:val="Unresolved Mention2"/>
    <w:basedOn w:val="DefaultParagraphFont"/>
    <w:uiPriority w:val="99"/>
    <w:semiHidden/>
    <w:unhideWhenUsed/>
    <w:rsid w:val="00080FCC"/>
    <w:rPr>
      <w:color w:val="605E5C"/>
      <w:shd w:val="clear" w:color="auto" w:fill="E1DFDD"/>
    </w:rPr>
  </w:style>
  <w:style w:type="paragraph" w:styleId="PlainText">
    <w:name w:val="Plain Text"/>
    <w:basedOn w:val="Normal"/>
    <w:link w:val="PlainTextChar"/>
    <w:uiPriority w:val="99"/>
    <w:unhideWhenUsed/>
    <w:rsid w:val="00C76EA5"/>
    <w:pPr>
      <w:spacing w:after="0" w:line="240" w:lineRule="auto"/>
    </w:pPr>
    <w:rPr>
      <w:rFonts w:ascii="Consolas" w:hAnsi="Consolas"/>
      <w:sz w:val="21"/>
      <w:szCs w:val="21"/>
      <w:lang w:val="it-IT" w:eastAsia="x-none"/>
    </w:rPr>
  </w:style>
  <w:style w:type="character" w:customStyle="1" w:styleId="PlainTextChar">
    <w:name w:val="Plain Text Char"/>
    <w:basedOn w:val="DefaultParagraphFont"/>
    <w:link w:val="PlainText"/>
    <w:uiPriority w:val="99"/>
    <w:rsid w:val="00C76EA5"/>
    <w:rPr>
      <w:rFonts w:ascii="Consolas" w:hAnsi="Consolas"/>
      <w:sz w:val="21"/>
      <w:szCs w:val="21"/>
      <w:lang w:val="it-IT" w:eastAsia="x-none"/>
    </w:rPr>
  </w:style>
  <w:style w:type="character" w:customStyle="1" w:styleId="UnresolvedMention3">
    <w:name w:val="Unresolved Mention3"/>
    <w:basedOn w:val="DefaultParagraphFont"/>
    <w:uiPriority w:val="99"/>
    <w:semiHidden/>
    <w:unhideWhenUsed/>
    <w:rsid w:val="00416AFF"/>
    <w:rPr>
      <w:color w:val="605E5C"/>
      <w:shd w:val="clear" w:color="auto" w:fill="E1DFDD"/>
    </w:rPr>
  </w:style>
  <w:style w:type="paragraph" w:customStyle="1" w:styleId="kontenutama">
    <w:name w:val="konten utama"/>
    <w:link w:val="kontenutamaChar"/>
    <w:autoRedefine/>
    <w:qFormat/>
    <w:rsid w:val="00244E32"/>
    <w:pPr>
      <w:spacing w:after="60"/>
      <w:jc w:val="both"/>
    </w:pPr>
    <w:rPr>
      <w:rFonts w:asciiTheme="minorHAnsi" w:eastAsia="Times New Roman" w:hAnsiTheme="minorHAnsi" w:cstheme="minorHAnsi"/>
      <w:b/>
      <w:noProof/>
      <w:kern w:val="32"/>
      <w:sz w:val="21"/>
      <w:szCs w:val="21"/>
      <w:lang w:val="id-ID"/>
    </w:rPr>
  </w:style>
  <w:style w:type="character" w:customStyle="1" w:styleId="kontenutamaChar">
    <w:name w:val="konten utama Char"/>
    <w:link w:val="kontenutama"/>
    <w:rsid w:val="00244E32"/>
    <w:rPr>
      <w:rFonts w:asciiTheme="minorHAnsi" w:eastAsia="Times New Roman" w:hAnsiTheme="minorHAnsi" w:cstheme="minorHAnsi"/>
      <w:b/>
      <w:noProof/>
      <w:kern w:val="32"/>
      <w:sz w:val="21"/>
      <w:szCs w:val="21"/>
      <w:lang w:val="id-ID" w:eastAsia="id-ID"/>
    </w:rPr>
  </w:style>
  <w:style w:type="table" w:customStyle="1" w:styleId="ListTable1Light-Accent31">
    <w:name w:val="List Table 1 Light - Accent 31"/>
    <w:basedOn w:val="TableNormal"/>
    <w:uiPriority w:val="46"/>
    <w:rsid w:val="0016583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4">
    <w:name w:val="Unresolved Mention4"/>
    <w:basedOn w:val="DefaultParagraphFont"/>
    <w:uiPriority w:val="99"/>
    <w:semiHidden/>
    <w:unhideWhenUsed/>
    <w:rsid w:val="0034702E"/>
    <w:rPr>
      <w:color w:val="605E5C"/>
      <w:shd w:val="clear" w:color="auto" w:fill="E1DFDD"/>
    </w:rPr>
  </w:style>
  <w:style w:type="table" w:styleId="PlainTable1">
    <w:name w:val="Plain Table 1"/>
    <w:basedOn w:val="TableNormal"/>
    <w:uiPriority w:val="41"/>
    <w:rsid w:val="00CD477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C598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ghtShading1">
    <w:name w:val="Light Shading1"/>
    <w:basedOn w:val="TableNormal"/>
    <w:uiPriority w:val="60"/>
    <w:rsid w:val="002B6A80"/>
    <w:rPr>
      <w:rFonts w:ascii="Times New Roman" w:eastAsiaTheme="minorHAnsi" w:hAnsi="Times New Roman" w:cstheme="minorBidi"/>
      <w:color w:val="000000" w:themeColor="text1" w:themeShade="BF"/>
      <w:szCs w:val="18"/>
      <w:lang w:val="en-MY"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Light">
    <w:name w:val="Grid Table Light"/>
    <w:basedOn w:val="TableNormal"/>
    <w:uiPriority w:val="40"/>
    <w:rsid w:val="00525A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120907"/>
    <w:rPr>
      <w:color w:val="808080"/>
    </w:rPr>
  </w:style>
  <w:style w:type="paragraph" w:styleId="Revision">
    <w:name w:val="Revision"/>
    <w:hidden/>
    <w:uiPriority w:val="99"/>
    <w:semiHidden/>
    <w:rsid w:val="00F167A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jc w:val="right"/>
    </w:pPr>
    <w:rPr>
      <w:rFonts w:ascii="Times New Roman" w:eastAsia="Times New Roman" w:hAnsi="Times New Roman" w:cs="Times New Roman"/>
      <w:color w:val="000000"/>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pPr>
      <w:jc w:val="right"/>
    </w:pPr>
    <w:rPr>
      <w:rFonts w:ascii="Times New Roman" w:eastAsia="Times New Roman" w:hAnsi="Times New Roman" w:cs="Times New Roman"/>
      <w:color w:val="000000"/>
      <w:sz w:val="22"/>
      <w:szCs w:val="22"/>
    </w:rPr>
    <w:tblPr>
      <w:tblStyleRowBandSize w:val="1"/>
      <w:tblStyleColBandSize w:val="1"/>
      <w:tblCellMar>
        <w:left w:w="70" w:type="dxa"/>
        <w:right w:w="70" w:type="dxa"/>
      </w:tblCellMar>
    </w:tblPr>
  </w:style>
  <w:style w:type="table" w:customStyle="1" w:styleId="a4">
    <w:basedOn w:val="TableNormal"/>
    <w:pPr>
      <w:jc w:val="right"/>
    </w:pPr>
    <w:rPr>
      <w:rFonts w:ascii="Times New Roman" w:eastAsia="Times New Roman" w:hAnsi="Times New Roman" w:cs="Times New Roman"/>
      <w:color w:val="000000"/>
      <w:sz w:val="22"/>
      <w:szCs w:val="22"/>
    </w:rPr>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gDO5vKYSZSA5Jw0RZjYJfdEeBA==">CgMxLjAyCWlkLmdqZGd4czIIaC5namRneHMyCWguM3pueXNoNzgAciExeW0wYUR1REdULUN1cDgzS2s3ZDhXZnBjelhCWElIME0=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2645</Words>
  <Characters>15083</Characters>
  <Application>Microsoft Office Word</Application>
  <DocSecurity>0</DocSecurity>
  <Lines>125</Lines>
  <Paragraphs>35</Paragraphs>
  <ScaleCrop>false</ScaleCrop>
  <Company/>
  <LinksUpToDate>false</LinksUpToDate>
  <CharactersWithSpaces>17693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Vanya Octary</dc:creator>
  <cp:lastModifiedBy>ARIES MAESYA</cp:lastModifiedBy>
  <cp:revision>3</cp:revision>
  <dcterms:created xsi:type="dcterms:W3CDTF">2023-08-05T05:23:00Z</dcterms:created>
  <dcterms:modified xsi:type="dcterms:W3CDTF">2026-01-02T04:28:00Z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141d030e-2767-35b4-9a08-6dd44422fc0f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0x0101006676EB79F3F64C45BFA78B70C36B2A08</vt:lpwstr>
  </property>
  <property fmtid="{D5CDD505-2E9C-101B-9397-08002B2CF9AE}" pid="26" name="GrammarlyDocumentId">
    <vt:lpwstr>1806a813-55a3-452c-b5a0-0718323587a7</vt:lpwstr>
  </property>
</Properties>
</file>